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D0" w:rsidRPr="009D0EDF" w:rsidRDefault="004E4C7C" w:rsidP="004144D0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</w:t>
      </w:r>
      <w:r w:rsidR="00F66C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</w:t>
      </w:r>
      <w:r w:rsidR="004144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</w:t>
      </w:r>
      <w:r w:rsidR="00F66C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D0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</w:t>
      </w:r>
      <w:r w:rsidR="00F66C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144D0" w:rsidRPr="009D0EDF">
        <w:rPr>
          <w:rFonts w:ascii="Times New Roman" w:hAnsi="Times New Roman"/>
          <w:sz w:val="24"/>
          <w:szCs w:val="24"/>
          <w:lang w:val="uk-UA"/>
        </w:rPr>
        <w:t>Затверджена рішенням</w:t>
      </w:r>
    </w:p>
    <w:p w:rsidR="004144D0" w:rsidRPr="009D0EDF" w:rsidRDefault="004144D0" w:rsidP="004144D0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9D0E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сесії Піщанської сільської </w:t>
      </w:r>
    </w:p>
    <w:p w:rsidR="004144D0" w:rsidRPr="009D0EDF" w:rsidRDefault="004144D0" w:rsidP="004144D0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9D0E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ради від</w:t>
      </w:r>
      <w:r w:rsidR="008B2194">
        <w:rPr>
          <w:rFonts w:ascii="Times New Roman" w:hAnsi="Times New Roman"/>
          <w:sz w:val="24"/>
          <w:szCs w:val="24"/>
          <w:lang w:val="uk-UA"/>
        </w:rPr>
        <w:t xml:space="preserve"> 23</w:t>
      </w:r>
      <w:r w:rsidRPr="009D0EDF">
        <w:rPr>
          <w:rFonts w:ascii="Times New Roman" w:hAnsi="Times New Roman"/>
          <w:sz w:val="24"/>
          <w:szCs w:val="24"/>
          <w:lang w:val="uk-UA"/>
        </w:rPr>
        <w:t xml:space="preserve"> грудня 2025 р.</w:t>
      </w:r>
    </w:p>
    <w:p w:rsidR="004144D0" w:rsidRPr="009D0EDF" w:rsidRDefault="004144D0" w:rsidP="004144D0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9D0E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№ </w:t>
      </w:r>
      <w:r w:rsidR="008B219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9D0ED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9D0EDF">
        <w:rPr>
          <w:rFonts w:ascii="Times New Roman" w:hAnsi="Times New Roman"/>
          <w:sz w:val="24"/>
          <w:szCs w:val="24"/>
          <w:lang w:val="en-US"/>
        </w:rPr>
        <w:t>V</w:t>
      </w:r>
      <w:r w:rsidRPr="009D0EDF">
        <w:rPr>
          <w:rFonts w:ascii="Times New Roman" w:hAnsi="Times New Roman"/>
          <w:sz w:val="24"/>
          <w:szCs w:val="24"/>
          <w:lang w:val="uk-UA"/>
        </w:rPr>
        <w:t>ІІІ</w:t>
      </w:r>
    </w:p>
    <w:p w:rsidR="004144D0" w:rsidRPr="009D0EDF" w:rsidRDefault="004144D0" w:rsidP="004144D0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144D0" w:rsidRPr="009D0EDF" w:rsidRDefault="004144D0" w:rsidP="004144D0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144D0" w:rsidRDefault="004144D0" w:rsidP="004144D0">
      <w:pPr>
        <w:pStyle w:val="a7"/>
        <w:jc w:val="center"/>
        <w:rPr>
          <w:rFonts w:ascii="Times New Roman" w:hAnsi="Times New Roman"/>
          <w:lang w:val="uk-UA"/>
        </w:rPr>
      </w:pPr>
    </w:p>
    <w:p w:rsidR="004E4C7C" w:rsidRDefault="004E4C7C" w:rsidP="004144D0">
      <w:pPr>
        <w:tabs>
          <w:tab w:val="left" w:pos="68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83B" w:rsidRDefault="00DD083B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F5787C" w:rsidRPr="002A3353" w:rsidRDefault="001818B7" w:rsidP="003B4D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</w:pPr>
      <w:r w:rsidRPr="002A3353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ПРОГРАМА</w:t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br/>
        <w:t>розвитку культури</w:t>
      </w:r>
    </w:p>
    <w:p w:rsidR="00F5787C" w:rsidRPr="002A3353" w:rsidRDefault="00F5787C" w:rsidP="003B4D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 xml:space="preserve">в </w:t>
      </w:r>
      <w:proofErr w:type="gramStart"/>
      <w:r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П</w:t>
      </w:r>
      <w:proofErr w:type="gramEnd"/>
      <w:r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 xml:space="preserve">іщанській </w:t>
      </w:r>
      <w:r w:rsidRPr="002A3353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сільській </w:t>
      </w:r>
    </w:p>
    <w:p w:rsidR="003B4D35" w:rsidRPr="002A3353" w:rsidRDefault="00F5787C" w:rsidP="003B4D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2A3353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територіальній громаді </w:t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br/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 xml:space="preserve">«Культура. Спадщина. </w:t>
      </w:r>
      <w:proofErr w:type="spellStart"/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Майбутн</w:t>
      </w:r>
      <w:proofErr w:type="gramStart"/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є</w:t>
      </w:r>
      <w:proofErr w:type="spellEnd"/>
      <w:r w:rsidR="008B2194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.</w:t>
      </w:r>
      <w:bookmarkStart w:id="0" w:name="_GoBack"/>
      <w:bookmarkEnd w:id="0"/>
      <w:proofErr w:type="gramEnd"/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»</w:t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br/>
        <w:t>на 2026</w:t>
      </w:r>
      <w:r w:rsidR="008B2194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 xml:space="preserve"> </w:t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–</w:t>
      </w:r>
      <w:r w:rsidR="008B2194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 xml:space="preserve"> </w:t>
      </w:r>
      <w:r w:rsidR="003B4D35" w:rsidRPr="002A3353">
        <w:rPr>
          <w:rFonts w:ascii="Times New Roman" w:eastAsia="Times New Roman" w:hAnsi="Times New Roman" w:cs="Times New Roman"/>
          <w:b/>
          <w:sz w:val="48"/>
          <w:szCs w:val="48"/>
          <w:lang w:val="ru-RU" w:eastAsia="zh-CN"/>
        </w:rPr>
        <w:t>2030 роки</w:t>
      </w:r>
    </w:p>
    <w:p w:rsidR="001818B7" w:rsidRPr="002A3353" w:rsidRDefault="001818B7" w:rsidP="003B4D3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</w:p>
    <w:p w:rsidR="001818B7" w:rsidRDefault="001818B7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4E4C7C" w:rsidRDefault="004144D0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4144D0">
        <w:rPr>
          <w:rFonts w:ascii="Times New Roman" w:eastAsia="Times New Roman" w:hAnsi="Times New Roman" w:cs="Times New Roman"/>
          <w:sz w:val="28"/>
          <w:szCs w:val="28"/>
          <w:lang w:eastAsia="zh-CN"/>
        </w:rPr>
        <w:t>ело Піщана</w:t>
      </w:r>
    </w:p>
    <w:p w:rsidR="004144D0" w:rsidRDefault="004144D0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2025</w:t>
      </w:r>
    </w:p>
    <w:p w:rsidR="00AC274D" w:rsidRDefault="00AC274D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274D" w:rsidRPr="004144D0" w:rsidRDefault="00AC274D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C7C" w:rsidRDefault="004E4C7C" w:rsidP="001818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</w:p>
    <w:p w:rsidR="009D0EDF" w:rsidRPr="004144D0" w:rsidRDefault="009D0EDF" w:rsidP="009D0EDF">
      <w:pPr>
        <w:shd w:val="clear" w:color="auto" w:fill="FFFFFF"/>
        <w:tabs>
          <w:tab w:val="left" w:pos="3416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p w:rsidR="009D0EDF" w:rsidRPr="004144D0" w:rsidRDefault="009D0EDF" w:rsidP="009D0E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Програми розвитку культури </w:t>
      </w:r>
    </w:p>
    <w:p w:rsidR="009D0EDF" w:rsidRPr="004144D0" w:rsidRDefault="009D0EDF" w:rsidP="009D0E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144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Піщанській сільській територіальній громаді</w:t>
      </w:r>
    </w:p>
    <w:p w:rsidR="009D0EDF" w:rsidRPr="004144D0" w:rsidRDefault="009D0EDF" w:rsidP="009D0E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«Культура. </w:t>
      </w:r>
      <w:proofErr w:type="spellStart"/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Спадщина</w:t>
      </w:r>
      <w:proofErr w:type="spellEnd"/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Майбутнє</w:t>
      </w:r>
      <w:proofErr w:type="spellEnd"/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9D0EDF" w:rsidRDefault="009D0EDF" w:rsidP="009D0EDF">
      <w:pPr>
        <w:shd w:val="clear" w:color="auto" w:fill="FFFFFF"/>
        <w:tabs>
          <w:tab w:val="left" w:pos="34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на 2026-2030 роки</w:t>
      </w:r>
    </w:p>
    <w:p w:rsidR="009D0EDF" w:rsidRPr="004144D0" w:rsidRDefault="009D0EDF" w:rsidP="009D0EDF">
      <w:pPr>
        <w:shd w:val="clear" w:color="auto" w:fill="FFFFFF"/>
        <w:tabs>
          <w:tab w:val="left" w:pos="341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EDF" w:rsidRPr="009F5614" w:rsidRDefault="009D0EDF" w:rsidP="009D0E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Назва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F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Програма розвитку культури </w:t>
      </w:r>
      <w:r w:rsidRPr="0096794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в Піщанській </w:t>
      </w:r>
      <w:r w:rsidRPr="00AD19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сільській територіальній </w:t>
      </w:r>
      <w:proofErr w:type="spellStart"/>
      <w:r w:rsidRPr="0096794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громаді</w:t>
      </w:r>
      <w:proofErr w:type="spellEnd"/>
      <w:r w:rsidRPr="009F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«Культура. Спадщина. Майбутнє» на 2026–2030 роки</w:t>
      </w:r>
    </w:p>
    <w:p w:rsidR="009D0EDF" w:rsidRPr="008219A1" w:rsidRDefault="009D0EDF" w:rsidP="009D0EDF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B0A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2. </w:t>
      </w:r>
      <w:r w:rsidRPr="00DB0A8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Підстава для розроблення</w:t>
      </w:r>
      <w:r w:rsidRPr="00DB0A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F5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акони України «Про місцеве самоврядування в Україні», «Про культуру», «Про бібліотеки та бібліотечну справу», «Про охорону культурної спадщини», Стратегія розвитку культури України до 2030 року</w:t>
      </w:r>
    </w:p>
    <w:p w:rsidR="009D0EDF" w:rsidRPr="00DB0A80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Замовник Програми або координатор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виконавчий комітет Піщанської сільської ради</w:t>
      </w:r>
    </w:p>
    <w:p w:rsidR="009D0EDF" w:rsidRPr="00DB0A80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Відповідальні за виконання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сільська рада, виконавчий комітет Піщанської сільської ради, заклади культури та бібліотеки сільської ради, відділ освіти, культури, молоді та спорту Піщанської сільської ради</w:t>
      </w:r>
    </w:p>
    <w:p w:rsidR="009D0EDF" w:rsidRPr="00DB0A80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Мета: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 культурного потенціалу громади, збереження спадщини, формування сучасного культурного середовища, доступного кожному мешканцю</w:t>
      </w:r>
    </w:p>
    <w:p w:rsidR="009D0EDF" w:rsidRPr="00A83BA1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 Терміни реалізації: </w:t>
      </w:r>
      <w:r w:rsidRPr="00414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початок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рік, </w:t>
      </w:r>
      <w:r w:rsidRPr="00414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закінчення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- 2030</w:t>
      </w:r>
      <w:r w:rsidRPr="00DB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</w:t>
      </w:r>
    </w:p>
    <w:p w:rsidR="009D0EDF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B0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Загальні обсяги фінансування: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8"/>
        <w:gridCol w:w="1728"/>
        <w:gridCol w:w="1338"/>
        <w:gridCol w:w="1339"/>
        <w:gridCol w:w="1339"/>
        <w:gridCol w:w="1339"/>
        <w:gridCol w:w="1339"/>
      </w:tblGrid>
      <w:tr w:rsidR="009D0EDF" w:rsidTr="0037005F">
        <w:trPr>
          <w:trHeight w:val="390"/>
        </w:trPr>
        <w:tc>
          <w:tcPr>
            <w:tcW w:w="1728" w:type="dxa"/>
            <w:vMerge w:val="restart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жерела фінансування</w:t>
            </w:r>
          </w:p>
        </w:tc>
        <w:tc>
          <w:tcPr>
            <w:tcW w:w="1728" w:type="dxa"/>
            <w:vMerge w:val="restart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бсяг фінансування усього,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гривень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24" w:type="dxa"/>
            <w:gridSpan w:val="5"/>
          </w:tcPr>
          <w:p w:rsidR="009D0EDF" w:rsidRPr="000E335D" w:rsidRDefault="009D0EDF" w:rsidP="003700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роками виконання</w:t>
            </w:r>
          </w:p>
        </w:tc>
      </w:tr>
      <w:tr w:rsidR="009D0EDF" w:rsidTr="0037005F">
        <w:trPr>
          <w:trHeight w:val="705"/>
        </w:trPr>
        <w:tc>
          <w:tcPr>
            <w:tcW w:w="1728" w:type="dxa"/>
            <w:vMerge/>
          </w:tcPr>
          <w:p w:rsidR="009D0EDF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9D0EDF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65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65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365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365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2030</w:t>
            </w:r>
          </w:p>
        </w:tc>
      </w:tr>
      <w:tr w:rsidR="009D0EDF" w:rsidTr="0037005F">
        <w:trPr>
          <w:trHeight w:val="705"/>
        </w:trPr>
        <w:tc>
          <w:tcPr>
            <w:tcW w:w="1728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728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4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</w:tr>
      <w:tr w:rsidR="009D0EDF" w:rsidTr="0037005F">
        <w:trPr>
          <w:trHeight w:val="705"/>
        </w:trPr>
        <w:tc>
          <w:tcPr>
            <w:tcW w:w="1728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728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4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  <w:tc>
          <w:tcPr>
            <w:tcW w:w="1365" w:type="dxa"/>
          </w:tcPr>
          <w:p w:rsidR="009D0EDF" w:rsidRPr="003966AC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межах бюджетних призначень</w:t>
            </w:r>
          </w:p>
        </w:tc>
      </w:tr>
      <w:tr w:rsidR="009D0EDF" w:rsidTr="0037005F">
        <w:trPr>
          <w:trHeight w:val="705"/>
        </w:trPr>
        <w:tc>
          <w:tcPr>
            <w:tcW w:w="1728" w:type="dxa"/>
          </w:tcPr>
          <w:p w:rsidR="009D0EDF" w:rsidRPr="00A83BA1" w:rsidRDefault="00132CC2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 w:rsidR="009D0EDF"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сільської територіальної громади</w:t>
            </w:r>
          </w:p>
        </w:tc>
        <w:tc>
          <w:tcPr>
            <w:tcW w:w="1728" w:type="dxa"/>
          </w:tcPr>
          <w:p w:rsidR="009D0EDF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325000</w:t>
            </w:r>
          </w:p>
        </w:tc>
        <w:tc>
          <w:tcPr>
            <w:tcW w:w="1364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</w:tr>
      <w:tr w:rsidR="009D0EDF" w:rsidTr="0037005F">
        <w:trPr>
          <w:trHeight w:val="705"/>
        </w:trPr>
        <w:tc>
          <w:tcPr>
            <w:tcW w:w="1728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728" w:type="dxa"/>
          </w:tcPr>
          <w:p w:rsidR="009D0EDF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D0EDF" w:rsidTr="0037005F">
        <w:trPr>
          <w:trHeight w:val="705"/>
        </w:trPr>
        <w:tc>
          <w:tcPr>
            <w:tcW w:w="1728" w:type="dxa"/>
          </w:tcPr>
          <w:p w:rsidR="009D0EDF" w:rsidRPr="00A83BA1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728" w:type="dxa"/>
          </w:tcPr>
          <w:p w:rsidR="009D0EDF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325000</w:t>
            </w:r>
          </w:p>
        </w:tc>
        <w:tc>
          <w:tcPr>
            <w:tcW w:w="1364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  <w:tc>
          <w:tcPr>
            <w:tcW w:w="1365" w:type="dxa"/>
          </w:tcPr>
          <w:p w:rsidR="009D0EDF" w:rsidRPr="00C040A9" w:rsidRDefault="009D0EDF" w:rsidP="003700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</w:t>
            </w:r>
          </w:p>
        </w:tc>
      </w:tr>
    </w:tbl>
    <w:p w:rsidR="009D0EDF" w:rsidRPr="007F52E5" w:rsidRDefault="009D0EDF" w:rsidP="009D0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D0EDF" w:rsidRDefault="009D0EDF" w:rsidP="009D0ED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</w:pPr>
      <w:r w:rsidRPr="00821B1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</w:p>
    <w:p w:rsidR="001818B7" w:rsidRPr="00F66C9A" w:rsidRDefault="004144D0" w:rsidP="0018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lastRenderedPageBreak/>
        <w:t>1</w:t>
      </w:r>
      <w:r w:rsidR="00655AA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.</w:t>
      </w:r>
      <w:r w:rsidR="00F64E2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  <w:r w:rsidR="001E6060" w:rsidRPr="00F66C9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</w:t>
      </w:r>
      <w:r w:rsidR="001818B7" w:rsidRPr="00F66C9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агальні положення</w:t>
      </w:r>
    </w:p>
    <w:p w:rsidR="001818B7" w:rsidRDefault="00EB5EB8" w:rsidP="00EB5E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B5EB8" w:rsidRPr="00F66C9A" w:rsidRDefault="003B4D35" w:rsidP="00EB5EB8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Розвиток культури в громаді</w:t>
      </w:r>
      <w:r w:rsidR="00EB5EB8" w:rsidRP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є важливим чинником розвитку особистості, місцевої ідентичності та соціальної єдності.</w:t>
      </w:r>
      <w:r w:rsid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5EB8" w:rsidRP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Піщанська сільська рада прагне забезпечити належні умови для реалізації культурних прав громадян,</w:t>
      </w:r>
      <w:r w:rsid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5EB8" w:rsidRP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 творчої діяльності, збереження традицій і нематеріальної спадщини</w:t>
      </w:r>
      <w:r w:rsidR="00255F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України</w:t>
      </w:r>
      <w:r w:rsidR="00EB5EB8" w:rsidRPr="00EB5E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818B7" w:rsidRPr="00F66C9A" w:rsidRDefault="001818B7" w:rsidP="001E60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цій Програмі враховано завдання, визначені </w:t>
      </w:r>
      <w:r w:rsidR="00AC274D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акон</w:t>
      </w:r>
      <w:r w:rsidR="00AC274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AC274D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України «Про культуру»</w:t>
      </w:r>
      <w:r w:rsidR="00471574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«Про </w:t>
      </w:r>
      <w:r w:rsidR="00731011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бібліотеку</w:t>
      </w:r>
      <w:r w:rsidR="00471574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бібліотечну справу»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указами Президента України та урядовими документами. </w:t>
      </w:r>
    </w:p>
    <w:p w:rsidR="00D255CC" w:rsidRPr="003B4D35" w:rsidRDefault="001818B7" w:rsidP="00D255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Аналіз со</w:t>
      </w:r>
      <w:r w:rsidR="00731011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ціокультурної ситуації в </w:t>
      </w:r>
      <w:r w:rsidR="00255FE3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громаді</w:t>
      </w:r>
      <w:r w:rsidR="00DF0C13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свідчить, що, не</w:t>
      </w:r>
      <w:r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зважаючи на складні економічні умови, вдалося зберегти мережу закладів культури і бібліот</w:t>
      </w:r>
      <w:r w:rsidR="00731011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ек.</w:t>
      </w:r>
      <w:r w:rsidR="00913D54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Станом  н</w:t>
      </w:r>
      <w:r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="00D255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01.12.2025 року </w:t>
      </w:r>
      <w:r w:rsidR="00D255CC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Піщанській сільській територіальній громаді </w:t>
      </w:r>
      <w:r w:rsidR="00D255C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працюють</w:t>
      </w:r>
      <w:r w:rsidR="004144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55CC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6 клубних закладів, одна публічна бібліотека з 6 філіями</w:t>
      </w:r>
      <w:r w:rsidR="00D255CC">
        <w:rPr>
          <w:rFonts w:ascii="Times New Roman" w:eastAsia="Times New Roman" w:hAnsi="Times New Roman" w:cs="Times New Roman"/>
          <w:sz w:val="28"/>
          <w:szCs w:val="28"/>
          <w:lang w:eastAsia="zh-CN"/>
        </w:rPr>
        <w:t>, які затверджені в  структурі галузі культури громади з 01.01.2021 року</w:t>
      </w:r>
      <w:r w:rsidR="00D255CC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818B7" w:rsidRPr="00F66C9A" w:rsidRDefault="001818B7" w:rsidP="00181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Основне завдання культурної спільноти – зберегти і продовжити надбані віками культурні, моральні і духовні цінності та </w:t>
      </w:r>
      <w:r w:rsidR="00255FE3" w:rsidRPr="00255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їх неперервність</w:t>
      </w:r>
      <w:r w:rsidRPr="0025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нових умовах, а також створювати сприятливі умови для розвитку нових 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видів, жанрів, способів і засобів творення культурного продукту, без яких суспільство, нація, кожна окрема людина не можуть мати перспективи.</w:t>
      </w:r>
    </w:p>
    <w:p w:rsidR="001818B7" w:rsidRPr="008B2194" w:rsidRDefault="001818B7" w:rsidP="001818B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B2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Потребує переформатування та переоснащення діяльність всіх клуб</w:t>
      </w:r>
      <w:r w:rsidR="00632004" w:rsidRPr="008B2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них закладів, </w:t>
      </w:r>
      <w:r w:rsidRPr="008B2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бібліотек для виконання у повному обсязі відповідних сучасних </w:t>
      </w:r>
      <w:r w:rsidR="00255FE3" w:rsidRPr="008B2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вимог</w:t>
      </w:r>
      <w:r w:rsidRPr="008B2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818B7" w:rsidRPr="00F66C9A" w:rsidRDefault="001818B7" w:rsidP="001818B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часі – величезний пласт роботи щодо збору, вивчення, фіксації, репрезентації кращих зразків традиційної народної культури, у тому числі побутової.</w:t>
      </w:r>
    </w:p>
    <w:p w:rsidR="001818B7" w:rsidRPr="00F66C9A" w:rsidRDefault="001818B7" w:rsidP="001818B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Є чимало різного роду і різного обсягу проблем щодо життєдіяльності аматорського мистецтва, перш за все оплата творчої праці, забе</w:t>
      </w:r>
      <w:r w:rsidR="00F57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зпечення музичним обладнанням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інструментами, транспортом.</w:t>
      </w:r>
      <w:r w:rsidR="0025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 низка проблем та першочергових завдань, які вимагають більш комплексного підходу та тривалих термінів реалізації.</w:t>
      </w:r>
    </w:p>
    <w:p w:rsidR="001818B7" w:rsidRPr="00F66C9A" w:rsidRDefault="001818B7" w:rsidP="008B129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Стан матеріально-технічного </w:t>
      </w:r>
      <w:r w:rsidR="00471574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закладів культури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залишається складним. </w:t>
      </w:r>
    </w:p>
    <w:p w:rsidR="001818B7" w:rsidRPr="00F66C9A" w:rsidRDefault="001818B7" w:rsidP="008B129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Бібліотеки громади потребують не тільки поповнення фондів новими надходженнями, а й запровадження сучасних технологій. Необхідно вирішити </w:t>
      </w:r>
      <w:r w:rsidR="003466A6">
        <w:rPr>
          <w:rFonts w:ascii="Times New Roman" w:eastAsia="Times New Roman" w:hAnsi="Times New Roman" w:cs="Times New Roman"/>
          <w:sz w:val="28"/>
          <w:szCs w:val="28"/>
          <w:lang w:eastAsia="zh-CN"/>
        </w:rPr>
        <w:t>питання доступності електронних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художніх та періодичних видань.</w:t>
      </w:r>
    </w:p>
    <w:p w:rsidR="001818B7" w:rsidRPr="00F66C9A" w:rsidRDefault="001818B7" w:rsidP="00F20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це зумовлює необхідність прий</w:t>
      </w:r>
      <w:r w:rsidR="000E335D">
        <w:rPr>
          <w:rFonts w:ascii="Times New Roman" w:eastAsia="Times New Roman" w:hAnsi="Times New Roman" w:cs="Times New Roman"/>
          <w:sz w:val="28"/>
          <w:szCs w:val="28"/>
          <w:lang w:eastAsia="zh-CN"/>
        </w:rPr>
        <w:t>няття Програми</w:t>
      </w:r>
      <w:r w:rsid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розвитку культури </w:t>
      </w:r>
      <w:r w:rsidR="00F5787C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Піщан</w:t>
      </w:r>
      <w:r w:rsidR="00F578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ській сільській територіальній громаді</w:t>
      </w:r>
      <w:r w:rsidR="00F5787C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B4D35" w:rsidRPr="003B4D35">
        <w:rPr>
          <w:rFonts w:ascii="Times New Roman" w:eastAsia="Times New Roman" w:hAnsi="Times New Roman" w:cs="Times New Roman"/>
          <w:sz w:val="28"/>
          <w:szCs w:val="28"/>
          <w:lang w:eastAsia="zh-CN"/>
        </w:rPr>
        <w:t>«Культура. Спадщина. Майбутнє»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F57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32ECB">
        <w:rPr>
          <w:rFonts w:ascii="Times New Roman" w:eastAsia="Times New Roman" w:hAnsi="Times New Roman" w:cs="Times New Roman"/>
          <w:sz w:val="28"/>
          <w:szCs w:val="28"/>
          <w:lang w:eastAsia="zh-CN"/>
        </w:rPr>
        <w:t>2026-2030</w:t>
      </w:r>
      <w:r w:rsidR="00471574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B838A9"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оки</w:t>
      </w:r>
      <w:r w:rsidRPr="00F66C9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32004" w:rsidRDefault="00655AA3" w:rsidP="00DB0A8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2.</w:t>
      </w:r>
      <w:r w:rsidR="004144D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  <w:r w:rsidR="001818B7" w:rsidRPr="0063200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Мета </w:t>
      </w:r>
      <w:r w:rsidR="00F5787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та завдання </w:t>
      </w:r>
      <w:r w:rsidR="001818B7" w:rsidRPr="0063200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Програми:</w:t>
      </w:r>
    </w:p>
    <w:p w:rsidR="008B2194" w:rsidRDefault="008B2194" w:rsidP="00DB0A8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7D635D" w:rsidRPr="007D635D" w:rsidRDefault="007D635D" w:rsidP="007D63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D635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сучасного,</w:t>
      </w:r>
      <w:r w:rsidR="009D0E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D635D">
        <w:rPr>
          <w:rFonts w:ascii="Times New Roman" w:eastAsia="Times New Roman" w:hAnsi="Times New Roman" w:cs="Times New Roman"/>
          <w:sz w:val="28"/>
          <w:szCs w:val="28"/>
          <w:lang w:eastAsia="zh-CN"/>
        </w:rPr>
        <w:t>динамічного культурного середовища громади, яке поєднує традиції та інновації.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D635D" w:rsidRPr="007D635D" w:rsidTr="00943604"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Напрям</w:t>
            </w:r>
            <w:r w:rsid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Завдання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Інфраструктура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Проведення ремонтів, енергоефективні заходи, оснащення клубів і бібліотек сучасним обладнанням.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Цифровізація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Запровадження електронних каталогів, цифрових архівів, інтернет-доступу та медіапросторів у бібліотеках і клубах.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Творчість і освіта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Підтримка гуртків, студій, творчих колективів, розвиток молодіжних і дитячих культурних ініціатив.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BA05F3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A0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Спадщина і туризм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Вивчення, охорона й популяризація нематеріальної спадщини, народних ремесел, історичних пам’яток, розвиток культурного туризму.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EA007E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A00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Інклюзія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Створення безбар’єрного культурного середовища, підтримка участі людей з інвалідністю, літніх людей, внутрішньо переміщених осіб.</w:t>
            </w:r>
          </w:p>
        </w:tc>
      </w:tr>
      <w:tr w:rsidR="007D635D" w:rsidRPr="007D635D" w:rsidTr="00943604">
        <w:tc>
          <w:tcPr>
            <w:tcW w:w="4320" w:type="dxa"/>
          </w:tcPr>
          <w:p w:rsidR="007D635D" w:rsidRPr="00EA007E" w:rsidRDefault="0096794A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Партнерство</w:t>
            </w:r>
          </w:p>
        </w:tc>
        <w:tc>
          <w:tcPr>
            <w:tcW w:w="4320" w:type="dxa"/>
          </w:tcPr>
          <w:p w:rsidR="007D635D" w:rsidRPr="007D635D" w:rsidRDefault="007D635D" w:rsidP="007D63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D635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Залучення громадських організацій, бізнесу, волонтерів до реалізації культурних проєктів, участь у грантових програмах.</w:t>
            </w:r>
          </w:p>
        </w:tc>
      </w:tr>
    </w:tbl>
    <w:p w:rsidR="00EB5EB8" w:rsidRDefault="0031660E" w:rsidP="0031660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</w:t>
      </w:r>
      <w:r w:rsidR="009A1D0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</w:p>
    <w:p w:rsidR="001818B7" w:rsidRPr="00AF4E34" w:rsidRDefault="00655AA3" w:rsidP="00EB5E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3.</w:t>
      </w:r>
      <w:r w:rsidR="001818B7" w:rsidRPr="00AF4E3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Термін дії Програми</w:t>
      </w:r>
      <w:r w:rsidR="00F5787C">
        <w:rPr>
          <w:rFonts w:ascii="Times New Roman" w:eastAsia="Times New Roman" w:hAnsi="Times New Roman" w:cs="Times New Roman"/>
          <w:sz w:val="32"/>
          <w:szCs w:val="32"/>
          <w:lang w:eastAsia="zh-CN"/>
        </w:rPr>
        <w:t>:</w:t>
      </w:r>
      <w:r w:rsidR="001818B7" w:rsidRPr="00AF4E3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  <w:r w:rsidR="00F64E2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2026</w:t>
      </w:r>
      <w:r w:rsidR="00D32EC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-2030</w:t>
      </w:r>
      <w:r w:rsidR="001818B7" w:rsidRPr="00AF4E3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р</w:t>
      </w:r>
      <w:r w:rsidR="00B838A9" w:rsidRPr="00AF4E3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оки</w:t>
      </w:r>
      <w:r w:rsidR="001818B7" w:rsidRPr="00AF4E3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.</w:t>
      </w:r>
    </w:p>
    <w:p w:rsidR="001818B7" w:rsidRPr="00AF4E34" w:rsidRDefault="001818B7" w:rsidP="001818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1818B7" w:rsidRPr="00AF4E34" w:rsidRDefault="00655AA3" w:rsidP="0018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="001818B7" w:rsidRPr="00AF4E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Очікувані результати, ефективність Програми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Модернізовано не менше 50% закладів культури громади.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Впроваджено цифрові сервіси у бібліотеках (електронний каталог, онлайн-доступ).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Зросла участь молоді в культурних ініціативах.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Підвищено рівень культурної активності жителів громади.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Відроджено народні ремесла та збільшено кількість фестивалів.</w:t>
      </w:r>
    </w:p>
    <w:p w:rsidR="007D635D" w:rsidRPr="007D635D" w:rsidRDefault="007D635D" w:rsidP="007D635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7D635D">
        <w:rPr>
          <w:rFonts w:ascii="Times New Roman" w:eastAsia="MS Mincho" w:hAnsi="Times New Roman" w:cs="Times New Roman"/>
          <w:sz w:val="28"/>
          <w:szCs w:val="28"/>
        </w:rPr>
        <w:t>• Створено позитивний імідж громади через культурні події та туризм.</w:t>
      </w:r>
    </w:p>
    <w:p w:rsidR="007D635D" w:rsidRPr="00EA007E" w:rsidRDefault="00EA007E" w:rsidP="007D635D">
      <w:pPr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</w:rPr>
        <w:br/>
      </w:r>
      <w:r w:rsidR="007D635D" w:rsidRPr="00EA007E">
        <w:rPr>
          <w:rFonts w:ascii="Times New Roman" w:eastAsia="MS Mincho" w:hAnsi="Times New Roman" w:cs="Times New Roman"/>
          <w:b/>
          <w:sz w:val="28"/>
          <w:szCs w:val="28"/>
        </w:rPr>
        <w:t>Очікувані результати реалізації Програми по роках (2026–2030):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4"/>
        <w:gridCol w:w="1608"/>
        <w:gridCol w:w="1405"/>
        <w:gridCol w:w="1405"/>
        <w:gridCol w:w="1566"/>
        <w:gridCol w:w="1536"/>
      </w:tblGrid>
      <w:tr w:rsidR="007D635D" w:rsidRPr="007D635D" w:rsidTr="00132CC2">
        <w:trPr>
          <w:trHeight w:val="412"/>
        </w:trPr>
        <w:tc>
          <w:tcPr>
            <w:tcW w:w="1548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Напрям</w:t>
            </w:r>
          </w:p>
        </w:tc>
        <w:tc>
          <w:tcPr>
            <w:tcW w:w="1608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2026</w:t>
            </w:r>
          </w:p>
        </w:tc>
        <w:tc>
          <w:tcPr>
            <w:tcW w:w="1405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2027</w:t>
            </w:r>
          </w:p>
        </w:tc>
        <w:tc>
          <w:tcPr>
            <w:tcW w:w="1405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2028</w:t>
            </w:r>
          </w:p>
        </w:tc>
        <w:tc>
          <w:tcPr>
            <w:tcW w:w="1566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2029</w:t>
            </w:r>
          </w:p>
        </w:tc>
        <w:tc>
          <w:tcPr>
            <w:tcW w:w="1536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2030</w:t>
            </w:r>
          </w:p>
        </w:tc>
      </w:tr>
      <w:tr w:rsidR="007D635D" w:rsidRPr="007D635D" w:rsidTr="00132CC2">
        <w:trPr>
          <w:trHeight w:val="926"/>
        </w:trPr>
        <w:tc>
          <w:tcPr>
            <w:tcW w:w="1548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Модернізація закладів культури</w:t>
            </w:r>
          </w:p>
        </w:tc>
        <w:tc>
          <w:tcPr>
            <w:tcW w:w="1608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Проєктування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Ремонт 2 закладів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Ремонт ще 2</w:t>
            </w:r>
          </w:p>
        </w:tc>
        <w:tc>
          <w:tcPr>
            <w:tcW w:w="156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Закупівля обладнання</w:t>
            </w:r>
          </w:p>
        </w:tc>
        <w:tc>
          <w:tcPr>
            <w:tcW w:w="153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Оцінка ефективності</w:t>
            </w:r>
          </w:p>
        </w:tc>
      </w:tr>
      <w:tr w:rsidR="007D635D" w:rsidRPr="007D635D" w:rsidTr="00132CC2">
        <w:trPr>
          <w:trHeight w:val="502"/>
        </w:trPr>
        <w:tc>
          <w:tcPr>
            <w:tcW w:w="1548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Цифровізація бібліотек</w:t>
            </w:r>
          </w:p>
        </w:tc>
        <w:tc>
          <w:tcPr>
            <w:tcW w:w="1608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Початок оцифрування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Створення онлайн-</w:t>
            </w:r>
            <w:r w:rsidRPr="007D635D">
              <w:rPr>
                <w:rFonts w:ascii="Times New Roman" w:eastAsia="MS Mincho" w:hAnsi="Times New Roman" w:cs="Times New Roman"/>
              </w:rPr>
              <w:lastRenderedPageBreak/>
              <w:t>каталогу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lastRenderedPageBreak/>
              <w:t>Запуск сайту</w:t>
            </w:r>
          </w:p>
        </w:tc>
        <w:tc>
          <w:tcPr>
            <w:tcW w:w="156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Підключення всіх філій</w:t>
            </w:r>
          </w:p>
        </w:tc>
        <w:tc>
          <w:tcPr>
            <w:tcW w:w="153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Оновлення контенту</w:t>
            </w:r>
          </w:p>
        </w:tc>
      </w:tr>
      <w:tr w:rsidR="007D635D" w:rsidRPr="007D635D" w:rsidTr="00132CC2">
        <w:trPr>
          <w:trHeight w:val="124"/>
        </w:trPr>
        <w:tc>
          <w:tcPr>
            <w:tcW w:w="1548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lastRenderedPageBreak/>
              <w:t>Молодіжні ініціативи</w:t>
            </w:r>
          </w:p>
        </w:tc>
        <w:tc>
          <w:tcPr>
            <w:tcW w:w="1608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Конкурс проєктів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Тренінги</w:t>
            </w:r>
          </w:p>
        </w:tc>
        <w:tc>
          <w:tcPr>
            <w:tcW w:w="1405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Фестиваль молоді</w:t>
            </w:r>
          </w:p>
        </w:tc>
        <w:tc>
          <w:tcPr>
            <w:tcW w:w="156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Програма наставництва</w:t>
            </w:r>
          </w:p>
        </w:tc>
        <w:tc>
          <w:tcPr>
            <w:tcW w:w="1536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Підсумкова виставка</w:t>
            </w:r>
          </w:p>
        </w:tc>
      </w:tr>
      <w:tr w:rsidR="00501E9F" w:rsidRPr="007D635D" w:rsidTr="00132CC2">
        <w:trPr>
          <w:trHeight w:val="124"/>
        </w:trPr>
        <w:tc>
          <w:tcPr>
            <w:tcW w:w="1548" w:type="dxa"/>
          </w:tcPr>
          <w:p w:rsidR="00501E9F" w:rsidRPr="00EA007E" w:rsidRDefault="00501E9F" w:rsidP="007D635D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608" w:type="dxa"/>
          </w:tcPr>
          <w:p w:rsidR="00501E9F" w:rsidRPr="007D635D" w:rsidRDefault="00501E9F" w:rsidP="007D635D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05" w:type="dxa"/>
          </w:tcPr>
          <w:p w:rsidR="00501E9F" w:rsidRPr="007D635D" w:rsidRDefault="00501E9F" w:rsidP="007D635D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05" w:type="dxa"/>
          </w:tcPr>
          <w:p w:rsidR="00501E9F" w:rsidRPr="007D635D" w:rsidRDefault="00501E9F" w:rsidP="007D635D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66" w:type="dxa"/>
          </w:tcPr>
          <w:p w:rsidR="00501E9F" w:rsidRPr="007D635D" w:rsidRDefault="00501E9F" w:rsidP="007D635D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6" w:type="dxa"/>
          </w:tcPr>
          <w:p w:rsidR="00501E9F" w:rsidRPr="007D635D" w:rsidRDefault="00501E9F" w:rsidP="007D635D">
            <w:pPr>
              <w:rPr>
                <w:rFonts w:ascii="Times New Roman" w:eastAsia="MS Mincho" w:hAnsi="Times New Roman" w:cs="Times New Roman"/>
              </w:rPr>
            </w:pPr>
          </w:p>
        </w:tc>
      </w:tr>
    </w:tbl>
    <w:p w:rsidR="007D635D" w:rsidRPr="007D635D" w:rsidRDefault="007D635D" w:rsidP="007D635D">
      <w:pPr>
        <w:keepNext/>
        <w:keepLines/>
        <w:spacing w:before="480" w:after="0"/>
        <w:outlineLvl w:val="0"/>
        <w:rPr>
          <w:rFonts w:ascii="Times New Roman" w:eastAsia="MS Gothic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635D">
        <w:rPr>
          <w:rFonts w:ascii="Times New Roman" w:eastAsia="MS Gothic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Основні заходи реалізації Програми</w:t>
      </w:r>
      <w:r>
        <w:rPr>
          <w:rFonts w:ascii="Times New Roman" w:eastAsia="MS Gothic" w:hAnsi="Times New Roman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635D" w:rsidRPr="007D635D" w:rsidTr="00943604">
        <w:tc>
          <w:tcPr>
            <w:tcW w:w="2160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№ з/п</w:t>
            </w:r>
          </w:p>
        </w:tc>
        <w:tc>
          <w:tcPr>
            <w:tcW w:w="2160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Зміст заходу</w:t>
            </w:r>
          </w:p>
        </w:tc>
        <w:tc>
          <w:tcPr>
            <w:tcW w:w="2160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Термін виконання</w:t>
            </w:r>
          </w:p>
        </w:tc>
        <w:tc>
          <w:tcPr>
            <w:tcW w:w="2160" w:type="dxa"/>
          </w:tcPr>
          <w:p w:rsidR="007D635D" w:rsidRPr="00EA007E" w:rsidRDefault="007D635D" w:rsidP="007D635D">
            <w:pPr>
              <w:rPr>
                <w:rFonts w:ascii="Times New Roman" w:eastAsia="MS Mincho" w:hAnsi="Times New Roman" w:cs="Times New Roman"/>
                <w:b/>
              </w:rPr>
            </w:pPr>
            <w:r w:rsidRPr="00EA007E">
              <w:rPr>
                <w:rFonts w:ascii="Times New Roman" w:eastAsia="MS Mincho" w:hAnsi="Times New Roman" w:cs="Times New Roman"/>
                <w:b/>
              </w:rPr>
              <w:t>Джерела фінансування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Проведення святкових заходів, фестивалів, виставок, творчих зустрічей.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Сільський бюджет, 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Поповнення бібліотечних фондів та передплата періодики.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Створення електронного каталогу бібліотечних ресурсів.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Проведення ремонтів у </w:t>
            </w:r>
            <w:r w:rsidR="0096794A">
              <w:rPr>
                <w:rFonts w:ascii="Times New Roman" w:eastAsia="MS Mincho" w:hAnsi="Times New Roman" w:cs="Times New Roman"/>
              </w:rPr>
              <w:t xml:space="preserve">будинках культури, сільських </w:t>
            </w:r>
            <w:r w:rsidRPr="007D635D">
              <w:rPr>
                <w:rFonts w:ascii="Times New Roman" w:eastAsia="MS Mincho" w:hAnsi="Times New Roman" w:cs="Times New Roman"/>
              </w:rPr>
              <w:t>клубах і бібліотеках.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Закупівля музичних інструментів, костюмів для колективів.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Підтримка молодіжних культурних ініціатив.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Організація курсів цифрової грамотності при бібліотеках.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Популяризація народних ремесел та локальної </w:t>
            </w:r>
            <w:r w:rsidRPr="007D635D">
              <w:rPr>
                <w:rFonts w:ascii="Times New Roman" w:eastAsia="MS Mincho" w:hAnsi="Times New Roman" w:cs="Times New Roman"/>
              </w:rPr>
              <w:lastRenderedPageBreak/>
              <w:t>спадщини.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lastRenderedPageBreak/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 xml:space="preserve">, не заборонені </w:t>
            </w:r>
            <w:r w:rsidR="00F5787C">
              <w:rPr>
                <w:rFonts w:ascii="Times New Roman" w:eastAsia="MS Mincho" w:hAnsi="Times New Roman" w:cs="Times New Roman"/>
              </w:rPr>
              <w:lastRenderedPageBreak/>
              <w:t>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lastRenderedPageBreak/>
              <w:t>9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Участь колективів у конкурсах обласного рівня.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  <w:tr w:rsidR="007D635D" w:rsidRPr="007D635D" w:rsidTr="00943604"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Проведення інклюзивних культурних заходів.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>2026–2030</w:t>
            </w:r>
          </w:p>
        </w:tc>
        <w:tc>
          <w:tcPr>
            <w:tcW w:w="2160" w:type="dxa"/>
          </w:tcPr>
          <w:p w:rsidR="007D635D" w:rsidRPr="007D635D" w:rsidRDefault="007D635D" w:rsidP="007D635D">
            <w:pPr>
              <w:rPr>
                <w:rFonts w:ascii="Times New Roman" w:eastAsia="MS Mincho" w:hAnsi="Times New Roman" w:cs="Times New Roman"/>
              </w:rPr>
            </w:pPr>
            <w:r w:rsidRPr="007D635D">
              <w:rPr>
                <w:rFonts w:ascii="Times New Roman" w:eastAsia="MS Mincho" w:hAnsi="Times New Roman" w:cs="Times New Roman"/>
              </w:rPr>
              <w:t xml:space="preserve">Сільський бюджет, </w:t>
            </w:r>
            <w:r w:rsidR="00F5787C" w:rsidRPr="007D635D">
              <w:rPr>
                <w:rFonts w:ascii="Times New Roman" w:eastAsia="MS Mincho" w:hAnsi="Times New Roman" w:cs="Times New Roman"/>
              </w:rPr>
              <w:t>інші джерела</w:t>
            </w:r>
            <w:r w:rsidR="00F5787C">
              <w:rPr>
                <w:rFonts w:ascii="Times New Roman" w:eastAsia="MS Mincho" w:hAnsi="Times New Roman" w:cs="Times New Roman"/>
              </w:rPr>
              <w:t>, не заборонені законодавством</w:t>
            </w:r>
          </w:p>
        </w:tc>
      </w:tr>
    </w:tbl>
    <w:p w:rsidR="00655AA3" w:rsidRDefault="00EB5EB8" w:rsidP="009F56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B5EB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5</w:t>
      </w:r>
      <w:r w:rsidR="00B74A60" w:rsidRPr="00EB5EB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.Фінансове забезпечення</w:t>
      </w:r>
      <w:r w:rsidR="009F56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моніторинг та контроль</w:t>
      </w:r>
    </w:p>
    <w:p w:rsidR="009F5614" w:rsidRDefault="009F5614" w:rsidP="009F56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F5614" w:rsidRPr="009F5614" w:rsidRDefault="009F5614" w:rsidP="009F561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614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</w:t>
      </w:r>
      <w:r w:rsidR="00132CC2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Pr="009F5614">
        <w:rPr>
          <w:rFonts w:ascii="Times New Roman" w:hAnsi="Times New Roman" w:cs="Times New Roman"/>
          <w:sz w:val="28"/>
          <w:szCs w:val="28"/>
        </w:rPr>
        <w:t>сільсько</w:t>
      </w:r>
      <w:r w:rsidR="00132CC2">
        <w:rPr>
          <w:rFonts w:ascii="Times New Roman" w:hAnsi="Times New Roman" w:cs="Times New Roman"/>
          <w:sz w:val="28"/>
          <w:szCs w:val="28"/>
        </w:rPr>
        <w:t>ї територіальної громади</w:t>
      </w:r>
      <w:r w:rsidRPr="009F5614">
        <w:rPr>
          <w:rFonts w:ascii="Times New Roman" w:hAnsi="Times New Roman" w:cs="Times New Roman"/>
          <w:sz w:val="28"/>
          <w:szCs w:val="28"/>
        </w:rPr>
        <w:t>, обласних і державних</w:t>
      </w:r>
      <w:r w:rsidR="00132CC2">
        <w:rPr>
          <w:rFonts w:ascii="Times New Roman" w:hAnsi="Times New Roman" w:cs="Times New Roman"/>
          <w:sz w:val="28"/>
          <w:szCs w:val="28"/>
        </w:rPr>
        <w:t xml:space="preserve"> бюджетів</w:t>
      </w:r>
      <w:r w:rsidRPr="009F5614">
        <w:rPr>
          <w:rFonts w:ascii="Times New Roman" w:hAnsi="Times New Roman" w:cs="Times New Roman"/>
          <w:sz w:val="28"/>
          <w:szCs w:val="28"/>
        </w:rPr>
        <w:t>, грантів та партнерських проєктів. Контроль і моніторинг реалізації здійснює відділ освіти, культури, молоді та спорту Піщанської сільської ради. Звіти про виконання Програми розглядаються щороку на засіданні виконавчого комітету та сесії сільської ради.</w:t>
      </w:r>
    </w:p>
    <w:p w:rsidR="009F5614" w:rsidRPr="009F5614" w:rsidRDefault="009F5614" w:rsidP="009F561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5AA3" w:rsidRPr="00655AA3" w:rsidRDefault="00655AA3" w:rsidP="00C57A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EB8" w:rsidRDefault="00010D72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5AA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  <w:r w:rsidRPr="0065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 </w:t>
      </w:r>
      <w:r w:rsidR="00750C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B5EB8" w:rsidRDefault="00EB5EB8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5EB8" w:rsidRDefault="00EB5EB8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5EB8" w:rsidRDefault="00EB5EB8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44D0" w:rsidRDefault="004144D0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44D0" w:rsidRDefault="004144D0" w:rsidP="00EB5EB8">
      <w:pPr>
        <w:shd w:val="clear" w:color="auto" w:fill="FFFFFF"/>
        <w:tabs>
          <w:tab w:val="left" w:pos="341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4144D0" w:rsidSect="00DD083B">
      <w:pgSz w:w="11906" w:h="16838"/>
      <w:pgMar w:top="851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606"/>
    <w:multiLevelType w:val="hybridMultilevel"/>
    <w:tmpl w:val="9AE00B0A"/>
    <w:lvl w:ilvl="0" w:tplc="041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1C12430"/>
    <w:multiLevelType w:val="hybridMultilevel"/>
    <w:tmpl w:val="FCECB3DE"/>
    <w:lvl w:ilvl="0" w:tplc="041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61A11EC4"/>
    <w:multiLevelType w:val="hybridMultilevel"/>
    <w:tmpl w:val="171E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B7"/>
    <w:rsid w:val="00010D72"/>
    <w:rsid w:val="00014FD8"/>
    <w:rsid w:val="00024296"/>
    <w:rsid w:val="00063B8A"/>
    <w:rsid w:val="000C79F7"/>
    <w:rsid w:val="000D78C0"/>
    <w:rsid w:val="000D796C"/>
    <w:rsid w:val="000E335D"/>
    <w:rsid w:val="00103A9B"/>
    <w:rsid w:val="00110952"/>
    <w:rsid w:val="00114021"/>
    <w:rsid w:val="00132CB5"/>
    <w:rsid w:val="00132CC2"/>
    <w:rsid w:val="00150CC8"/>
    <w:rsid w:val="00153526"/>
    <w:rsid w:val="001803F9"/>
    <w:rsid w:val="001818B7"/>
    <w:rsid w:val="0018473F"/>
    <w:rsid w:val="001E6060"/>
    <w:rsid w:val="00255FE3"/>
    <w:rsid w:val="00264369"/>
    <w:rsid w:val="00292A71"/>
    <w:rsid w:val="00292FFB"/>
    <w:rsid w:val="00293FCD"/>
    <w:rsid w:val="002A3353"/>
    <w:rsid w:val="002A479E"/>
    <w:rsid w:val="002F39C6"/>
    <w:rsid w:val="0031660E"/>
    <w:rsid w:val="0032630F"/>
    <w:rsid w:val="003466A6"/>
    <w:rsid w:val="003966AC"/>
    <w:rsid w:val="003A58FA"/>
    <w:rsid w:val="003B4D35"/>
    <w:rsid w:val="003E118A"/>
    <w:rsid w:val="003E246A"/>
    <w:rsid w:val="004056C3"/>
    <w:rsid w:val="004144D0"/>
    <w:rsid w:val="00416AA5"/>
    <w:rsid w:val="00427C01"/>
    <w:rsid w:val="00447942"/>
    <w:rsid w:val="004516A8"/>
    <w:rsid w:val="0046154D"/>
    <w:rsid w:val="00462FFC"/>
    <w:rsid w:val="00471574"/>
    <w:rsid w:val="00483BD0"/>
    <w:rsid w:val="004B5175"/>
    <w:rsid w:val="004E4C7C"/>
    <w:rsid w:val="00501E9F"/>
    <w:rsid w:val="00516D1D"/>
    <w:rsid w:val="00531B1D"/>
    <w:rsid w:val="0053725D"/>
    <w:rsid w:val="00540070"/>
    <w:rsid w:val="00554943"/>
    <w:rsid w:val="00572566"/>
    <w:rsid w:val="0057291E"/>
    <w:rsid w:val="0058166E"/>
    <w:rsid w:val="005843D4"/>
    <w:rsid w:val="005C0021"/>
    <w:rsid w:val="005D0399"/>
    <w:rsid w:val="005F624E"/>
    <w:rsid w:val="00632004"/>
    <w:rsid w:val="00644ECD"/>
    <w:rsid w:val="00655AA3"/>
    <w:rsid w:val="006D4807"/>
    <w:rsid w:val="006E554F"/>
    <w:rsid w:val="00711EA3"/>
    <w:rsid w:val="007178E3"/>
    <w:rsid w:val="00723139"/>
    <w:rsid w:val="00731011"/>
    <w:rsid w:val="00750C03"/>
    <w:rsid w:val="00752E31"/>
    <w:rsid w:val="00764B37"/>
    <w:rsid w:val="00787BF8"/>
    <w:rsid w:val="007C02BE"/>
    <w:rsid w:val="007D635D"/>
    <w:rsid w:val="007F52E5"/>
    <w:rsid w:val="00803235"/>
    <w:rsid w:val="008145F1"/>
    <w:rsid w:val="008219A1"/>
    <w:rsid w:val="00821B18"/>
    <w:rsid w:val="008423DB"/>
    <w:rsid w:val="0084242C"/>
    <w:rsid w:val="00881893"/>
    <w:rsid w:val="008962DD"/>
    <w:rsid w:val="008969B4"/>
    <w:rsid w:val="008A3E1B"/>
    <w:rsid w:val="008B1298"/>
    <w:rsid w:val="008B2194"/>
    <w:rsid w:val="008B4271"/>
    <w:rsid w:val="008B7631"/>
    <w:rsid w:val="008C008E"/>
    <w:rsid w:val="008F0831"/>
    <w:rsid w:val="00901B52"/>
    <w:rsid w:val="00913D54"/>
    <w:rsid w:val="009450D5"/>
    <w:rsid w:val="00947CE2"/>
    <w:rsid w:val="00957733"/>
    <w:rsid w:val="00966208"/>
    <w:rsid w:val="0096794A"/>
    <w:rsid w:val="009A1D03"/>
    <w:rsid w:val="009A6016"/>
    <w:rsid w:val="009B4FE3"/>
    <w:rsid w:val="009D0EDF"/>
    <w:rsid w:val="009F5614"/>
    <w:rsid w:val="00A35535"/>
    <w:rsid w:val="00A44CE7"/>
    <w:rsid w:val="00A56212"/>
    <w:rsid w:val="00A6156F"/>
    <w:rsid w:val="00A77506"/>
    <w:rsid w:val="00A83BA1"/>
    <w:rsid w:val="00A85884"/>
    <w:rsid w:val="00AC274D"/>
    <w:rsid w:val="00AC4B71"/>
    <w:rsid w:val="00AD194C"/>
    <w:rsid w:val="00AF1805"/>
    <w:rsid w:val="00AF4E34"/>
    <w:rsid w:val="00B16AFF"/>
    <w:rsid w:val="00B27E94"/>
    <w:rsid w:val="00B40D2E"/>
    <w:rsid w:val="00B4798F"/>
    <w:rsid w:val="00B65BB7"/>
    <w:rsid w:val="00B71AE3"/>
    <w:rsid w:val="00B74A60"/>
    <w:rsid w:val="00B802B0"/>
    <w:rsid w:val="00B838A9"/>
    <w:rsid w:val="00B96B31"/>
    <w:rsid w:val="00BA05F3"/>
    <w:rsid w:val="00BB0DF5"/>
    <w:rsid w:val="00BE3644"/>
    <w:rsid w:val="00C040A9"/>
    <w:rsid w:val="00C57A9B"/>
    <w:rsid w:val="00C7488C"/>
    <w:rsid w:val="00C93F02"/>
    <w:rsid w:val="00CD7DA1"/>
    <w:rsid w:val="00CF3125"/>
    <w:rsid w:val="00CF4963"/>
    <w:rsid w:val="00D03E8B"/>
    <w:rsid w:val="00D255CC"/>
    <w:rsid w:val="00D31573"/>
    <w:rsid w:val="00D329AF"/>
    <w:rsid w:val="00D32ECB"/>
    <w:rsid w:val="00D370CE"/>
    <w:rsid w:val="00D42729"/>
    <w:rsid w:val="00D51D9C"/>
    <w:rsid w:val="00D67548"/>
    <w:rsid w:val="00D937BF"/>
    <w:rsid w:val="00DA0532"/>
    <w:rsid w:val="00DB0A80"/>
    <w:rsid w:val="00DD083B"/>
    <w:rsid w:val="00DE24D5"/>
    <w:rsid w:val="00DF0C13"/>
    <w:rsid w:val="00DF1EB2"/>
    <w:rsid w:val="00E50A57"/>
    <w:rsid w:val="00E60F4F"/>
    <w:rsid w:val="00EA007E"/>
    <w:rsid w:val="00EB5EB8"/>
    <w:rsid w:val="00EC3FEA"/>
    <w:rsid w:val="00EC453E"/>
    <w:rsid w:val="00ED3AA7"/>
    <w:rsid w:val="00ED5964"/>
    <w:rsid w:val="00F15181"/>
    <w:rsid w:val="00F208BE"/>
    <w:rsid w:val="00F5787C"/>
    <w:rsid w:val="00F64E27"/>
    <w:rsid w:val="00F66C9A"/>
    <w:rsid w:val="00F75180"/>
    <w:rsid w:val="00FA018F"/>
    <w:rsid w:val="00FC0723"/>
    <w:rsid w:val="00FE3C0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D4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uiPriority w:val="39"/>
    <w:rsid w:val="008F08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4144D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D4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uiPriority w:val="39"/>
    <w:rsid w:val="008F08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4144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5776-42ED-46E5-A54E-655D932D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2025-12-08T06:47:00Z</cp:lastPrinted>
  <dcterms:created xsi:type="dcterms:W3CDTF">2018-12-04T18:57:00Z</dcterms:created>
  <dcterms:modified xsi:type="dcterms:W3CDTF">2025-12-08T06:48:00Z</dcterms:modified>
</cp:coreProperties>
</file>