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5144" w:rsidRDefault="00122D9C">
      <w:pPr>
        <w:pStyle w:val="break"/>
        <w:spacing w:after="150"/>
        <w:jc w:val="both"/>
        <w:rPr>
          <w:lang w:val="uk" w:eastAsia="uk"/>
        </w:rPr>
      </w:pPr>
      <w:r>
        <w:pict>
          <v:rect id="_x0000_i1025" style="width:0;height:.75pt" o:hrpct="0" o:hralign="right" o:hrstd="t" o:hr="t" fillcolor="gray" stroked="f">
            <v:path strokeok="f"/>
          </v:rect>
        </w:pict>
      </w:r>
      <w:bookmarkStart w:id="0" w:name="n67"/>
      <w:bookmarkEnd w:id="0"/>
    </w:p>
    <w:tbl>
      <w:tblPr>
        <w:tblStyle w:val="articletable"/>
        <w:tblW w:w="5000" w:type="pct"/>
        <w:jc w:val="center"/>
        <w:tblCellMar>
          <w:left w:w="0" w:type="dxa"/>
          <w:right w:w="0" w:type="dxa"/>
        </w:tblCellMar>
        <w:tblLook w:val="05E0" w:firstRow="1" w:lastRow="1" w:firstColumn="1" w:lastColumn="1" w:noHBand="0" w:noVBand="1"/>
      </w:tblPr>
      <w:tblGrid>
        <w:gridCol w:w="5656"/>
        <w:gridCol w:w="8484"/>
      </w:tblGrid>
      <w:tr w:rsidR="00425144" w:rsidRPr="00122D9C">
        <w:trPr>
          <w:jc w:val="center"/>
        </w:trPr>
        <w:tc>
          <w:tcPr>
            <w:tcW w:w="2000" w:type="pct"/>
            <w:tcMar>
              <w:top w:w="0" w:type="dxa"/>
              <w:left w:w="0" w:type="dxa"/>
              <w:bottom w:w="0" w:type="dxa"/>
              <w:right w:w="0" w:type="dxa"/>
            </w:tcMar>
          </w:tcPr>
          <w:p w:rsidR="00425144" w:rsidRDefault="00425144">
            <w:pPr>
              <w:pStyle w:val="rvps14"/>
              <w:spacing w:before="150" w:after="150"/>
              <w:rPr>
                <w:lang w:val="uk" w:eastAsia="uk"/>
              </w:rPr>
            </w:pPr>
            <w:bookmarkStart w:id="1" w:name="n32"/>
            <w:bookmarkEnd w:id="1"/>
          </w:p>
        </w:tc>
        <w:tc>
          <w:tcPr>
            <w:tcW w:w="3000" w:type="pct"/>
            <w:tcMar>
              <w:top w:w="0" w:type="dxa"/>
              <w:left w:w="0" w:type="dxa"/>
              <w:bottom w:w="0" w:type="dxa"/>
              <w:right w:w="0" w:type="dxa"/>
            </w:tcMar>
            <w:hideMark/>
          </w:tcPr>
          <w:p w:rsidR="00C41558" w:rsidRDefault="00C41558" w:rsidP="00C41558">
            <w:pPr>
              <w:jc w:val="right"/>
              <w:rPr>
                <w:lang w:val="uk" w:eastAsia="uk"/>
              </w:rPr>
            </w:pPr>
            <w:r>
              <w:rPr>
                <w:lang w:val="uk" w:eastAsia="uk"/>
              </w:rPr>
              <w:t xml:space="preserve">      </w:t>
            </w:r>
          </w:p>
          <w:p w:rsidR="00C41558" w:rsidRPr="00ED4DA4" w:rsidRDefault="00ED4DA4" w:rsidP="00C41558">
            <w:pPr>
              <w:jc w:val="center"/>
              <w:rPr>
                <w:rFonts w:eastAsia="Calibri"/>
                <w:noProof/>
                <w:sz w:val="28"/>
                <w:szCs w:val="28"/>
                <w:lang w:val="uk-UA"/>
              </w:rPr>
            </w:pPr>
            <w:r>
              <w:rPr>
                <w:lang w:val="uk" w:eastAsia="uk"/>
              </w:rPr>
              <w:t xml:space="preserve">              </w:t>
            </w:r>
            <w:r w:rsidRPr="00ED4DA4">
              <w:rPr>
                <w:rFonts w:eastAsia="Calibri"/>
                <w:noProof/>
                <w:sz w:val="28"/>
                <w:szCs w:val="28"/>
                <w:lang w:val="uk-UA"/>
              </w:rPr>
              <w:t>Додаток 2</w:t>
            </w:r>
            <w:r w:rsidR="00C41558" w:rsidRPr="00ED4DA4">
              <w:rPr>
                <w:rFonts w:eastAsia="Calibri"/>
                <w:noProof/>
                <w:sz w:val="28"/>
                <w:szCs w:val="28"/>
                <w:lang w:val="uk-UA"/>
              </w:rPr>
              <w:tab/>
              <w:t xml:space="preserve">                                                                                                                               </w:t>
            </w:r>
          </w:p>
          <w:p w:rsidR="00C41558" w:rsidRPr="00C41558" w:rsidRDefault="00C41558" w:rsidP="00C41558">
            <w:pPr>
              <w:spacing w:line="276" w:lineRule="auto"/>
              <w:jc w:val="center"/>
              <w:rPr>
                <w:rFonts w:eastAsia="Calibri"/>
                <w:noProof/>
                <w:sz w:val="28"/>
                <w:szCs w:val="28"/>
                <w:lang w:val="uk-UA"/>
              </w:rPr>
            </w:pPr>
            <w:r>
              <w:rPr>
                <w:rFonts w:eastAsia="Calibri"/>
                <w:noProof/>
                <w:sz w:val="28"/>
                <w:szCs w:val="28"/>
                <w:lang w:val="uk-UA"/>
              </w:rPr>
              <w:t xml:space="preserve">                                                    </w:t>
            </w:r>
            <w:r w:rsidR="00ED4DA4">
              <w:rPr>
                <w:rFonts w:eastAsia="Calibri"/>
                <w:noProof/>
                <w:sz w:val="28"/>
                <w:szCs w:val="28"/>
                <w:lang w:val="uk-UA"/>
              </w:rPr>
              <w:t xml:space="preserve"> до </w:t>
            </w:r>
            <w:r w:rsidRPr="00C41558">
              <w:rPr>
                <w:rFonts w:eastAsia="Calibri"/>
                <w:noProof/>
                <w:sz w:val="28"/>
                <w:szCs w:val="28"/>
                <w:lang w:val="uk-UA"/>
              </w:rPr>
              <w:t>рішення Піщанської сільської ради</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Поділь</w:t>
            </w:r>
            <w:r w:rsidRPr="00C41558">
              <w:rPr>
                <w:rFonts w:eastAsia="Calibri"/>
                <w:noProof/>
                <w:sz w:val="28"/>
                <w:szCs w:val="28"/>
                <w:lang w:val="uk-UA"/>
              </w:rPr>
              <w:t>ського району Одеської області</w:t>
            </w:r>
          </w:p>
          <w:p w:rsidR="00C41558" w:rsidRPr="00C41558" w:rsidRDefault="00C41558" w:rsidP="00C41558">
            <w:pPr>
              <w:autoSpaceDE w:val="0"/>
              <w:autoSpaceDN w:val="0"/>
              <w:adjustRightInd w:val="0"/>
              <w:rPr>
                <w:rFonts w:eastAsia="Calibri"/>
                <w:noProof/>
                <w:sz w:val="28"/>
                <w:szCs w:val="28"/>
                <w:lang w:val="uk-UA"/>
              </w:rPr>
            </w:pPr>
            <w:r>
              <w:rPr>
                <w:rFonts w:eastAsia="Calibri"/>
                <w:noProof/>
                <w:sz w:val="28"/>
                <w:szCs w:val="28"/>
                <w:lang w:val="uk-UA"/>
              </w:rPr>
              <w:t xml:space="preserve">                                                       в</w:t>
            </w:r>
            <w:r w:rsidRPr="00C41558">
              <w:rPr>
                <w:rFonts w:eastAsia="Calibri"/>
                <w:noProof/>
                <w:sz w:val="28"/>
                <w:szCs w:val="28"/>
                <w:lang w:val="uk-UA"/>
              </w:rPr>
              <w:t xml:space="preserve">ід </w:t>
            </w:r>
            <w:r w:rsidR="00122D9C">
              <w:rPr>
                <w:rFonts w:eastAsia="Calibri"/>
                <w:noProof/>
                <w:sz w:val="28"/>
                <w:szCs w:val="28"/>
                <w:lang w:val="uk-UA"/>
              </w:rPr>
              <w:t>23</w:t>
            </w:r>
            <w:r w:rsidRPr="00C41558">
              <w:rPr>
                <w:rFonts w:eastAsia="Calibri"/>
                <w:noProof/>
                <w:sz w:val="28"/>
                <w:szCs w:val="28"/>
                <w:lang w:val="uk-UA"/>
              </w:rPr>
              <w:t xml:space="preserve"> </w:t>
            </w:r>
            <w:r>
              <w:rPr>
                <w:rFonts w:eastAsia="Calibri"/>
                <w:noProof/>
                <w:sz w:val="28"/>
                <w:szCs w:val="28"/>
                <w:lang w:val="uk-UA"/>
              </w:rPr>
              <w:t xml:space="preserve">грудня </w:t>
            </w:r>
            <w:r w:rsidRPr="00C41558">
              <w:rPr>
                <w:rFonts w:eastAsia="Calibri"/>
                <w:noProof/>
                <w:sz w:val="28"/>
                <w:szCs w:val="28"/>
                <w:lang w:val="uk-UA"/>
              </w:rPr>
              <w:t>202</w:t>
            </w:r>
            <w:r>
              <w:rPr>
                <w:rFonts w:eastAsia="Calibri"/>
                <w:noProof/>
                <w:sz w:val="28"/>
                <w:szCs w:val="28"/>
                <w:lang w:val="uk-UA"/>
              </w:rPr>
              <w:t>5</w:t>
            </w:r>
            <w:r w:rsidRPr="00C41558">
              <w:rPr>
                <w:rFonts w:eastAsia="Calibri"/>
                <w:noProof/>
                <w:sz w:val="28"/>
                <w:szCs w:val="28"/>
                <w:lang w:val="uk-UA"/>
              </w:rPr>
              <w:t xml:space="preserve"> № </w:t>
            </w:r>
            <w:r w:rsidR="00122D9C">
              <w:rPr>
                <w:rFonts w:eastAsia="Calibri"/>
                <w:noProof/>
                <w:sz w:val="28"/>
                <w:szCs w:val="28"/>
                <w:lang w:val="uk-UA"/>
              </w:rPr>
              <w:t xml:space="preserve">      </w:t>
            </w:r>
            <w:bookmarkStart w:id="2" w:name="_GoBack"/>
            <w:bookmarkEnd w:id="2"/>
            <w:r w:rsidRPr="00C41558">
              <w:rPr>
                <w:rFonts w:eastAsia="Calibri"/>
                <w:noProof/>
                <w:sz w:val="28"/>
                <w:szCs w:val="28"/>
                <w:lang w:val="uk-UA"/>
              </w:rPr>
              <w:t xml:space="preserve"> – </w:t>
            </w:r>
            <w:r w:rsidRPr="00C41558">
              <w:rPr>
                <w:rFonts w:eastAsia="Calibri"/>
                <w:noProof/>
                <w:sz w:val="28"/>
                <w:szCs w:val="28"/>
              </w:rPr>
              <w:t>VIII</w:t>
            </w:r>
            <w:r w:rsidRPr="00C41558">
              <w:rPr>
                <w:rFonts w:eastAsia="Calibri"/>
                <w:noProof/>
                <w:sz w:val="28"/>
                <w:szCs w:val="28"/>
                <w:lang w:val="uk-UA"/>
              </w:rPr>
              <w:t xml:space="preserve"> </w:t>
            </w:r>
          </w:p>
          <w:p w:rsidR="0041186A" w:rsidRPr="00ED4DA4" w:rsidRDefault="0041186A" w:rsidP="00ED4DA4">
            <w:pPr>
              <w:autoSpaceDE w:val="0"/>
              <w:autoSpaceDN w:val="0"/>
              <w:adjustRightInd w:val="0"/>
              <w:rPr>
                <w:rFonts w:eastAsia="Calibri"/>
                <w:noProof/>
                <w:sz w:val="28"/>
                <w:szCs w:val="28"/>
                <w:lang w:val="uk-UA"/>
              </w:rPr>
            </w:pPr>
          </w:p>
          <w:p w:rsidR="0041186A" w:rsidRPr="0041186A" w:rsidRDefault="0041186A" w:rsidP="0041186A">
            <w:pPr>
              <w:widowControl w:val="0"/>
              <w:autoSpaceDE w:val="0"/>
              <w:autoSpaceDN w:val="0"/>
              <w:ind w:left="5015" w:right="304"/>
              <w:rPr>
                <w:rFonts w:eastAsia="Calibri"/>
                <w:b/>
                <w:bCs/>
                <w:noProof/>
                <w:sz w:val="28"/>
                <w:szCs w:val="28"/>
                <w:lang w:val="uk-UA"/>
              </w:rPr>
            </w:pPr>
            <w:r w:rsidRPr="0041186A">
              <w:rPr>
                <w:lang w:val="uk-UA"/>
              </w:rPr>
              <w:t xml:space="preserve">                                                                                        </w:t>
            </w:r>
          </w:p>
          <w:p w:rsidR="00425144" w:rsidRDefault="00425144" w:rsidP="0041186A">
            <w:pPr>
              <w:spacing w:after="200" w:line="276" w:lineRule="auto"/>
              <w:rPr>
                <w:lang w:val="uk" w:eastAsia="uk"/>
              </w:rPr>
            </w:pPr>
          </w:p>
        </w:tc>
      </w:tr>
    </w:tbl>
    <w:p w:rsidR="00425144" w:rsidRDefault="00C02C62">
      <w:pPr>
        <w:pStyle w:val="rvps6"/>
        <w:spacing w:before="300" w:after="450"/>
        <w:ind w:left="450" w:right="450"/>
        <w:rPr>
          <w:lang w:val="uk" w:eastAsia="uk"/>
        </w:rPr>
      </w:pPr>
      <w:bookmarkStart w:id="3" w:name="n33"/>
      <w:bookmarkEnd w:id="3"/>
      <w:r>
        <w:rPr>
          <w:rStyle w:val="spanrvts23"/>
          <w:lang w:val="uk" w:eastAsia="uk"/>
        </w:rPr>
        <w:t xml:space="preserve">ПЕРЕЛІК </w:t>
      </w:r>
      <w:r>
        <w:rPr>
          <w:rStyle w:val="spanrvts23"/>
          <w:lang w:val="uk" w:eastAsia="uk"/>
        </w:rPr>
        <w:br/>
        <w:t xml:space="preserve">адміністративних послуг які </w:t>
      </w:r>
      <w:r w:rsidR="0041186A">
        <w:rPr>
          <w:rStyle w:val="spanrvts23"/>
          <w:lang w:val="uk" w:eastAsia="uk"/>
        </w:rPr>
        <w:t>надаються віддаленими робочими місцями відділу «Центр</w:t>
      </w:r>
      <w:r>
        <w:rPr>
          <w:rStyle w:val="spanrvts23"/>
          <w:lang w:val="uk" w:eastAsia="uk"/>
        </w:rPr>
        <w:t xml:space="preserve"> надання адміністративних послуг</w:t>
      </w:r>
      <w:r w:rsidR="0041186A">
        <w:rPr>
          <w:rStyle w:val="spanrvts23"/>
          <w:lang w:val="uk" w:eastAsia="uk"/>
        </w:rPr>
        <w:t>» Піщанської сільської ради Одеської області</w:t>
      </w:r>
    </w:p>
    <w:tbl>
      <w:tblPr>
        <w:tblStyle w:val="articletable"/>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5" w:type="dxa"/>
          <w:left w:w="15" w:type="dxa"/>
          <w:bottom w:w="15" w:type="dxa"/>
          <w:right w:w="15" w:type="dxa"/>
        </w:tblCellMar>
        <w:tblLook w:val="05E0" w:firstRow="1" w:lastRow="1" w:firstColumn="1" w:lastColumn="1" w:noHBand="0" w:noVBand="1"/>
      </w:tblPr>
      <w:tblGrid>
        <w:gridCol w:w="691"/>
        <w:gridCol w:w="1504"/>
        <w:gridCol w:w="6528"/>
        <w:gridCol w:w="5438"/>
      </w:tblGrid>
      <w:tr w:rsidR="00CF5320" w:rsidRPr="00122D9C" w:rsidTr="00CF5320">
        <w:trPr>
          <w:jc w:val="center"/>
        </w:trPr>
        <w:tc>
          <w:tcPr>
            <w:tcW w:w="244" w:type="pct"/>
          </w:tcPr>
          <w:p w:rsidR="00CF5320" w:rsidRDefault="00CF5320">
            <w:pPr>
              <w:pStyle w:val="rvps12"/>
              <w:spacing w:before="150" w:after="150"/>
              <w:rPr>
                <w:lang w:val="uk" w:eastAsia="uk"/>
              </w:rPr>
            </w:pPr>
            <w:bookmarkStart w:id="4" w:name="n34"/>
            <w:bookmarkEnd w:id="4"/>
            <w:r>
              <w:rPr>
                <w:lang w:val="uk" w:eastAsia="uk"/>
              </w:rPr>
              <w:t xml:space="preserve"> №</w:t>
            </w:r>
          </w:p>
          <w:p w:rsidR="00CF5320" w:rsidRDefault="00CF5320">
            <w:pPr>
              <w:pStyle w:val="rvps12"/>
              <w:spacing w:before="150" w:after="150"/>
              <w:rPr>
                <w:lang w:val="uk" w:eastAsia="uk"/>
              </w:rPr>
            </w:pPr>
            <w:r>
              <w:rPr>
                <w:lang w:val="uk" w:eastAsia="uk"/>
              </w:rPr>
              <w:t>з/п</w:t>
            </w:r>
          </w:p>
        </w:tc>
        <w:tc>
          <w:tcPr>
            <w:tcW w:w="531" w:type="pct"/>
            <w:tcMar>
              <w:top w:w="22" w:type="dxa"/>
              <w:left w:w="20" w:type="dxa"/>
              <w:bottom w:w="22" w:type="dxa"/>
              <w:right w:w="22" w:type="dxa"/>
            </w:tcMar>
            <w:hideMark/>
          </w:tcPr>
          <w:p w:rsidR="00CF5320" w:rsidRDefault="00CF5320">
            <w:pPr>
              <w:pStyle w:val="rvps12"/>
              <w:spacing w:before="150" w:after="150"/>
              <w:rPr>
                <w:lang w:val="uk" w:eastAsia="uk"/>
              </w:rPr>
            </w:pPr>
            <w:r>
              <w:rPr>
                <w:lang w:val="uk" w:eastAsia="uk"/>
              </w:rPr>
              <w:t>Ідентифікатор</w:t>
            </w:r>
          </w:p>
        </w:tc>
        <w:tc>
          <w:tcPr>
            <w:tcW w:w="2305" w:type="pct"/>
            <w:tcMar>
              <w:top w:w="22" w:type="dxa"/>
              <w:left w:w="22" w:type="dxa"/>
              <w:bottom w:w="22" w:type="dxa"/>
              <w:right w:w="22" w:type="dxa"/>
            </w:tcMar>
            <w:hideMark/>
          </w:tcPr>
          <w:p w:rsidR="00CF5320" w:rsidRDefault="00CF5320">
            <w:pPr>
              <w:pStyle w:val="rvps12"/>
              <w:spacing w:before="150" w:after="150"/>
              <w:rPr>
                <w:lang w:val="uk" w:eastAsia="uk"/>
              </w:rPr>
            </w:pPr>
            <w:r>
              <w:rPr>
                <w:lang w:val="uk" w:eastAsia="uk"/>
              </w:rPr>
              <w:t>Найменування адміністративної послуги</w:t>
            </w:r>
          </w:p>
        </w:tc>
        <w:tc>
          <w:tcPr>
            <w:tcW w:w="1920" w:type="pct"/>
          </w:tcPr>
          <w:p w:rsidR="00CF5320" w:rsidRDefault="00CF5320">
            <w:pPr>
              <w:pStyle w:val="rvps12"/>
              <w:spacing w:before="150" w:after="150"/>
              <w:rPr>
                <w:lang w:val="uk" w:eastAsia="uk"/>
              </w:rPr>
            </w:pPr>
            <w:r w:rsidRPr="006015A5">
              <w:rPr>
                <w:rFonts w:eastAsia="Calibri"/>
                <w:sz w:val="28"/>
                <w:szCs w:val="28"/>
                <w:lang w:val="uk-UA"/>
              </w:rPr>
              <w:t>Правові підстави  для надання адміністративної послуги</w:t>
            </w:r>
          </w:p>
        </w:tc>
      </w:tr>
      <w:tr w:rsidR="001B111C" w:rsidTr="00CF5320">
        <w:trPr>
          <w:jc w:val="center"/>
        </w:trPr>
        <w:tc>
          <w:tcPr>
            <w:tcW w:w="5000" w:type="pct"/>
            <w:gridSpan w:val="4"/>
          </w:tcPr>
          <w:p w:rsidR="001B111C" w:rsidRDefault="001B111C">
            <w:pPr>
              <w:pStyle w:val="rvps12"/>
              <w:spacing w:before="150" w:after="150"/>
              <w:rPr>
                <w:lang w:val="uk" w:eastAsia="uk"/>
              </w:rPr>
            </w:pPr>
            <w:r w:rsidRPr="006D4AEF">
              <w:rPr>
                <w:b/>
                <w:sz w:val="28"/>
                <w:szCs w:val="28"/>
                <w:u w:val="single"/>
                <w:lang w:val="uk" w:eastAsia="uk"/>
              </w:rPr>
              <w:t>Категорія “Реєстрація та облік”</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Комплексна електронна публічна послуга “єМалятко”</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Єдиний державний демографічний реєстр та документи, що підтверджують громадянство України, посвідчують особу чи її спеціальний статус»</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00034</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проживання дитини до 14 років</w:t>
            </w:r>
          </w:p>
        </w:tc>
        <w:tc>
          <w:tcPr>
            <w:tcW w:w="1920" w:type="pct"/>
          </w:tcPr>
          <w:p w:rsidR="00CF5320" w:rsidRDefault="00CF5320">
            <w:pPr>
              <w:pStyle w:val="rvps12"/>
              <w:spacing w:before="150" w:after="150"/>
              <w:rPr>
                <w:lang w:val="uk" w:eastAsia="uk"/>
              </w:rPr>
            </w:pPr>
            <w:r w:rsidRPr="00B34667">
              <w:rPr>
                <w:rFonts w:eastAsia="Calibri"/>
                <w:lang w:val="uk-UA"/>
              </w:rPr>
              <w:t xml:space="preserve">Закон України «Про свободу пересування та </w:t>
            </w:r>
            <w:r w:rsidRPr="00B34667">
              <w:rPr>
                <w:rFonts w:eastAsia="Calibri"/>
                <w:lang w:val="uk-UA"/>
              </w:rPr>
              <w:lastRenderedPageBreak/>
              <w:t>вільний вибір місця проживання в Україні»</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Зняття із реєстрації місця проживання</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Реєстрація місця перебування</w:t>
            </w:r>
          </w:p>
        </w:tc>
        <w:tc>
          <w:tcPr>
            <w:tcW w:w="1920" w:type="pct"/>
          </w:tcPr>
          <w:p w:rsidR="00CF5320" w:rsidRDefault="00CF5320" w:rsidP="00D22200">
            <w:pPr>
              <w:pStyle w:val="rvps12"/>
              <w:tabs>
                <w:tab w:val="center" w:pos="681"/>
              </w:tabs>
              <w:spacing w:before="150" w:after="150"/>
              <w:jc w:val="left"/>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00038</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витягу з реєстру територіальної громади</w:t>
            </w:r>
          </w:p>
        </w:tc>
        <w:tc>
          <w:tcPr>
            <w:tcW w:w="1920" w:type="pct"/>
          </w:tcPr>
          <w:p w:rsidR="00CF5320" w:rsidRDefault="00CF5320">
            <w:pPr>
              <w:pStyle w:val="rvps12"/>
              <w:spacing w:before="150" w:after="150"/>
              <w:rPr>
                <w:lang w:val="uk" w:eastAsia="uk"/>
              </w:rPr>
            </w:pPr>
            <w:r w:rsidRPr="00B34667">
              <w:rPr>
                <w:rFonts w:eastAsia="Calibri"/>
                <w:lang w:val="uk-UA"/>
              </w:rPr>
              <w:t>Закон України «Про свободу пересування та вільний вибір місця проживання в Україні»</w:t>
            </w:r>
          </w:p>
        </w:tc>
      </w:tr>
      <w:tr w:rsidR="00986D53" w:rsidRPr="00122D9C" w:rsidTr="00CF5320">
        <w:trPr>
          <w:jc w:val="center"/>
        </w:trPr>
        <w:tc>
          <w:tcPr>
            <w:tcW w:w="244" w:type="pct"/>
          </w:tcPr>
          <w:p w:rsidR="00986D53" w:rsidRPr="006D4AEF" w:rsidRDefault="00986D53" w:rsidP="00986D53">
            <w:pPr>
              <w:pStyle w:val="rvps12"/>
              <w:spacing w:before="150" w:after="150"/>
              <w:jc w:val="left"/>
              <w:rPr>
                <w:b/>
                <w:sz w:val="28"/>
                <w:szCs w:val="28"/>
                <w:u w:val="single"/>
                <w:lang w:val="uk" w:eastAsia="uk"/>
              </w:rPr>
            </w:pPr>
          </w:p>
        </w:tc>
        <w:tc>
          <w:tcPr>
            <w:tcW w:w="4756" w:type="pct"/>
            <w:gridSpan w:val="3"/>
          </w:tcPr>
          <w:p w:rsidR="00986D53" w:rsidRPr="006D4AEF" w:rsidRDefault="00986D53">
            <w:pPr>
              <w:pStyle w:val="rvps12"/>
              <w:spacing w:before="150" w:after="150"/>
              <w:rPr>
                <w:b/>
                <w:sz w:val="28"/>
                <w:szCs w:val="28"/>
                <w:u w:val="single"/>
                <w:lang w:val="uk" w:eastAsia="uk"/>
              </w:rPr>
            </w:pPr>
            <w:r w:rsidRPr="006D4AEF">
              <w:rPr>
                <w:b/>
                <w:sz w:val="28"/>
                <w:szCs w:val="28"/>
                <w:u w:val="single"/>
                <w:lang w:val="uk" w:eastAsia="uk"/>
              </w:rPr>
              <w:t xml:space="preserve">Категорія “Реєстрація та облік” </w:t>
            </w:r>
            <w:r w:rsidRPr="006D4AEF">
              <w:rPr>
                <w:b/>
                <w:sz w:val="28"/>
                <w:szCs w:val="28"/>
                <w:u w:val="single"/>
                <w:lang w:val="uk" w:eastAsia="uk"/>
              </w:rPr>
              <w:br/>
              <w:t>Підкатегорія “Державна реєстрація актів цивільного стану”</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00983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Внесення змін до актових записів цивільного стану, їх поновлення та припинення їх дії</w:t>
            </w:r>
          </w:p>
        </w:tc>
        <w:tc>
          <w:tcPr>
            <w:tcW w:w="1920" w:type="pct"/>
          </w:tcPr>
          <w:p w:rsidR="00CF5320" w:rsidRDefault="00CF5320">
            <w:pPr>
              <w:pStyle w:val="rvps12"/>
              <w:spacing w:before="150" w:after="150"/>
              <w:rPr>
                <w:lang w:val="uk" w:eastAsia="uk"/>
              </w:rPr>
            </w:pPr>
            <w:r w:rsidRPr="008E13CD">
              <w:rPr>
                <w:rFonts w:eastAsia="Calibri"/>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00030</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народження дитини та її походження</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00031</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00032</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розірвання шлюбу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00868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зміни власного імені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00033</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Державна реєстрація смерті</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01418</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Видача витягу з Державного реєстру актів цивільного стану громадян</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8E13CD">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8E13CD">
            <w:pPr>
              <w:pStyle w:val="rvps12"/>
              <w:spacing w:before="150" w:after="150"/>
              <w:rPr>
                <w:lang w:val="uk" w:eastAsia="uk"/>
              </w:rPr>
            </w:pPr>
            <w:r>
              <w:rPr>
                <w:lang w:val="uk" w:eastAsia="uk"/>
              </w:rPr>
              <w:t>01854</w:t>
            </w:r>
          </w:p>
        </w:tc>
        <w:tc>
          <w:tcPr>
            <w:tcW w:w="2305" w:type="pct"/>
            <w:tcMar>
              <w:top w:w="20" w:type="dxa"/>
              <w:left w:w="20" w:type="dxa"/>
              <w:bottom w:w="20" w:type="dxa"/>
              <w:right w:w="20" w:type="dxa"/>
            </w:tcMar>
            <w:hideMark/>
          </w:tcPr>
          <w:p w:rsidR="00CF5320" w:rsidRDefault="00CF5320" w:rsidP="008E13CD">
            <w:pPr>
              <w:pStyle w:val="rvps14"/>
              <w:spacing w:before="150" w:after="150"/>
              <w:rPr>
                <w:lang w:val="uk" w:eastAsia="uk"/>
              </w:rPr>
            </w:pPr>
            <w:r>
              <w:rPr>
                <w:lang w:val="uk" w:eastAsia="uk"/>
              </w:rPr>
              <w:t>Повторна видача свідоцтва про державну реєстрацію акта цивільного стану</w:t>
            </w:r>
          </w:p>
        </w:tc>
        <w:tc>
          <w:tcPr>
            <w:tcW w:w="1920" w:type="pct"/>
          </w:tcPr>
          <w:p w:rsidR="00CF5320" w:rsidRDefault="00CF5320" w:rsidP="008E13CD">
            <w:pPr>
              <w:pStyle w:val="rvps12"/>
              <w:spacing w:before="150" w:after="150"/>
              <w:rPr>
                <w:lang w:val="uk" w:eastAsia="uk"/>
              </w:rPr>
            </w:pPr>
            <w:r w:rsidRPr="008E13CD">
              <w:rPr>
                <w:lang w:val="uk-UA"/>
              </w:rPr>
              <w:t>Закон України «Про державну реєстрацію актів цивільного стану»</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00026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Вклеювання до паспорта громадянина України (зразка 1994 року) фотокартки при досягненні 25- і 45-річного віку</w:t>
            </w:r>
          </w:p>
        </w:tc>
        <w:tc>
          <w:tcPr>
            <w:tcW w:w="1920" w:type="pct"/>
          </w:tcPr>
          <w:p w:rsidR="00CF5320" w:rsidRDefault="00CF5320">
            <w:pPr>
              <w:pStyle w:val="rvps12"/>
              <w:spacing w:before="150" w:after="150"/>
              <w:rPr>
                <w:lang w:val="uk" w:eastAsia="uk"/>
              </w:rPr>
            </w:pPr>
            <w:r w:rsidRPr="008E13CD">
              <w:rPr>
                <w:rFonts w:eastAsia="Calibri"/>
                <w:lang w:val="uk-UA"/>
              </w:rPr>
              <w:t>Постанова «Верховної ради України від 26 червня 1992 р. 3 2503 –ХІІ «Про затвердження положень про паспорт громадянина України для виїзду за кордон»»</w:t>
            </w:r>
          </w:p>
        </w:tc>
      </w:tr>
      <w:tr w:rsidR="00BE5713" w:rsidRPr="00122D9C"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“Ветерани війни та члени їх родин”</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02266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відомостей з Єдиного державного реєстру ветеранів війни</w:t>
            </w:r>
          </w:p>
        </w:tc>
        <w:tc>
          <w:tcPr>
            <w:tcW w:w="1920" w:type="pct"/>
          </w:tcPr>
          <w:p w:rsidR="00CF5320" w:rsidRDefault="00CF5320">
            <w:pPr>
              <w:pStyle w:val="rvps12"/>
              <w:spacing w:before="150" w:after="150"/>
              <w:rPr>
                <w:lang w:val="uk" w:eastAsia="uk"/>
              </w:rPr>
            </w:pPr>
            <w:r w:rsidRPr="006D706D">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ветерана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02600</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Продовження строку дії посвідчення члена сім’ї загиблого (померлого) ветерана війни та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статусу учасника бойових дій, видача посвідчення особам, які з 24 лютого по 25 березня 2022 р. відповідно до </w:t>
            </w:r>
            <w:hyperlink r:id="rId7" w:tgtFrame="_blank" w:history="1">
              <w:r>
                <w:rPr>
                  <w:rStyle w:val="arvts96"/>
                  <w:lang w:val="uk" w:eastAsia="uk"/>
                </w:rPr>
                <w:t>Закону України</w:t>
              </w:r>
            </w:hyperlink>
            <w:r>
              <w:rPr>
                <w:lang w:val="uk" w:eastAsia="uk"/>
              </w:rPr>
              <w:t xml:space="preserve"> “Про забезпечення участі цивільних осіб у захисті України” або у складі добровольчих формувань брали участь у здійсненні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перебуваючи безпосередньо в районах та у період здійснення зазначених заходів</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членам сімей загиблих (померлих) Захисників і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02544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факту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направлення для отримання послуги з професійної адаптації осіб, які звільняються або звільнені з військової служби, з числа ветеранів війни, осіб, які мають особливі заслуги перед Батьківщиною, членів сімей таких осіб, членів сімей загиблих (померлих) ветеранів війни, членів сімей загиблих (померлих) Захисників та Захисниць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члена сім’ї загиблого (померлого) Захисника чи Захисниці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00241</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особи з інвалідністю внаслідок війни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Встановлення статусу учасника бойових дій, видача посвідчення особам, які у період до 23 лютого 2018 р. </w:t>
            </w:r>
            <w:r>
              <w:rPr>
                <w:lang w:val="uk" w:eastAsia="uk"/>
              </w:rPr>
              <w:lastRenderedPageBreak/>
              <w:t>включно у складі добровольчих формувань брали безпосередню участь в антитерористичній операції</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01877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у разі інвалідності волонтера внаслідок поранення (контузії, травми або каліцтва), отриманого під час надання волонтерської допомоги в районі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00239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учасника війни,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Видача нового посвідчення особи з інвалідністю внаслідок війни, учасника війни, члена сім’ї загиблого (померлого) ветерана війни, члена сім’ї загиблого (померлого) Захисника чи Захисниці України, постраждалого учасника Революції Гідності замість непридатного/втраченого та у разі зміни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02499</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особи з інвалідністю внаслідок війни, члена сім’ї загиблого (померлого) Захисника чи Захисниці України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00105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 xml:space="preserve">Призначення одноразової грошової допомоги членам сім’ї, батькам та утриманцям волонтера, загиблого (померлого) внаслідок поранення (контузії, травми або каліцтва), отриманого під час надання волонтерської допомоги в районі </w:t>
            </w:r>
            <w:r>
              <w:rPr>
                <w:lang w:val="uk" w:eastAsia="uk"/>
              </w:rPr>
              <w:lastRenderedPageBreak/>
              <w:t>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здійснення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та/або іншої країни проти України, бойових дій та збройного конфлікту</w:t>
            </w:r>
          </w:p>
        </w:tc>
        <w:tc>
          <w:tcPr>
            <w:tcW w:w="1920" w:type="pct"/>
          </w:tcPr>
          <w:p w:rsidR="00CF5320" w:rsidRDefault="00CF5320" w:rsidP="00103EF1">
            <w:pPr>
              <w:pStyle w:val="rvps12"/>
              <w:spacing w:before="150" w:after="150"/>
              <w:rPr>
                <w:lang w:val="uk" w:eastAsia="uk"/>
              </w:rPr>
            </w:pPr>
            <w:r w:rsidRPr="00255FD5">
              <w:rPr>
                <w:rFonts w:eastAsia="Calibri"/>
                <w:lang w:val="uk-UA"/>
              </w:rPr>
              <w:lastRenderedPageBreak/>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02502</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Призначення одноразової грошової допомоги особам з інвалідністю внаслідок війни, зазначеним у</w:t>
            </w:r>
            <w:hyperlink r:id="rId8" w:anchor="n103" w:tgtFrame="_blank" w:history="1">
              <w:r>
                <w:rPr>
                  <w:rStyle w:val="arvts96"/>
                  <w:lang w:val="uk" w:eastAsia="uk"/>
                </w:rPr>
                <w:t>пунктах 11-16</w:t>
              </w:r>
            </w:hyperlink>
            <w:r>
              <w:rPr>
                <w:lang w:val="uk" w:eastAsia="uk"/>
              </w:rPr>
              <w:t xml:space="preserve"> частини другої статті 7 Закону України “Про статус ветеранів війни, гарантії їх соціального захисту”</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01284</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факту отримання особами поранень чи інших ушкоджень здоров’я, одержаних від вибухонебезпечних предметів, на території проведення антитерористичної операції, здійснення заходів із забезпечення національної безпеки і оборони, відсічі і стримування збройної агресії Російської Федерації у Донецькій та Луганській областях, заходів,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01588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Встановлення статусу постраждалого учасника Революції Гідності, видача посвідчення</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01598</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постраждалого учасника Революції Гідності за заявою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01285</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Позбавлення статусу учасника бойових дій за заявою такої особи</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02606</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Виплата грошової компенсації особам, які захищали незалежність, суверенітет та територіальну цілісність України, за найм (оренду) ними житлових приміщень</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CF5320" w:rsidRPr="00122D9C" w:rsidTr="00CF5320">
        <w:trPr>
          <w:jc w:val="center"/>
        </w:trPr>
        <w:tc>
          <w:tcPr>
            <w:tcW w:w="244" w:type="pct"/>
          </w:tcPr>
          <w:p w:rsidR="00CF5320" w:rsidRDefault="00CF5320" w:rsidP="00103EF1">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rsidP="00103EF1">
            <w:pPr>
              <w:pStyle w:val="rvps12"/>
              <w:spacing w:before="150" w:after="150"/>
              <w:rPr>
                <w:lang w:val="uk" w:eastAsia="uk"/>
              </w:rPr>
            </w:pPr>
            <w:r>
              <w:rPr>
                <w:lang w:val="uk" w:eastAsia="uk"/>
              </w:rPr>
              <w:t>02607</w:t>
            </w:r>
          </w:p>
        </w:tc>
        <w:tc>
          <w:tcPr>
            <w:tcW w:w="2305" w:type="pct"/>
            <w:tcMar>
              <w:top w:w="20" w:type="dxa"/>
              <w:left w:w="20" w:type="dxa"/>
              <w:bottom w:w="20" w:type="dxa"/>
              <w:right w:w="20" w:type="dxa"/>
            </w:tcMar>
            <w:hideMark/>
          </w:tcPr>
          <w:p w:rsidR="00CF5320" w:rsidRDefault="00CF5320" w:rsidP="00103EF1">
            <w:pPr>
              <w:pStyle w:val="rvps14"/>
              <w:spacing w:before="150" w:after="150"/>
              <w:rPr>
                <w:lang w:val="uk" w:eastAsia="uk"/>
              </w:rPr>
            </w:pPr>
            <w:r>
              <w:rPr>
                <w:lang w:val="uk" w:eastAsia="uk"/>
              </w:rPr>
              <w:t>Заміна посвідчення учасника бойових дій, виданого Мінветеранів, на нове через його непридатність, втрату або зміну персональних даних</w:t>
            </w:r>
          </w:p>
        </w:tc>
        <w:tc>
          <w:tcPr>
            <w:tcW w:w="1920" w:type="pct"/>
          </w:tcPr>
          <w:p w:rsidR="00CF5320" w:rsidRDefault="00CF5320" w:rsidP="00103EF1">
            <w:pPr>
              <w:pStyle w:val="rvps12"/>
              <w:spacing w:before="150" w:after="150"/>
              <w:rPr>
                <w:lang w:val="uk" w:eastAsia="uk"/>
              </w:rPr>
            </w:pPr>
            <w:r w:rsidRPr="00255FD5">
              <w:rPr>
                <w:rFonts w:eastAsia="Calibri"/>
                <w:lang w:val="uk-UA"/>
              </w:rPr>
              <w:t>Закон України «Про статус ветеранів війни, гарантії їх соціального захисту»</w:t>
            </w:r>
          </w:p>
        </w:tc>
      </w:tr>
      <w:tr w:rsidR="00BE5713" w:rsidRPr="00122D9C" w:rsidTr="00CF5320">
        <w:trPr>
          <w:jc w:val="center"/>
        </w:trPr>
        <w:tc>
          <w:tcPr>
            <w:tcW w:w="5000" w:type="pct"/>
            <w:gridSpan w:val="4"/>
          </w:tcPr>
          <w:p w:rsidR="00BE5713" w:rsidRDefault="00BE5713">
            <w:pPr>
              <w:pStyle w:val="rvps12"/>
              <w:spacing w:before="150" w:after="150"/>
              <w:rPr>
                <w:lang w:val="uk" w:eastAsia="uk"/>
              </w:rPr>
            </w:pPr>
            <w:r w:rsidRPr="006D4AEF">
              <w:rPr>
                <w:b/>
                <w:sz w:val="28"/>
                <w:szCs w:val="28"/>
                <w:u w:val="single"/>
                <w:lang w:val="uk" w:eastAsia="uk"/>
              </w:rPr>
              <w:t>Категорія “Соціальний захист та підтримка”</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02347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Призначення разової грошової виплати до Дня Незалежності України особам, визначеним </w:t>
            </w:r>
            <w:hyperlink r:id="rId9" w:tgtFrame="_blank" w:history="1">
              <w:r>
                <w:rPr>
                  <w:rStyle w:val="arvts96"/>
                  <w:lang w:val="uk" w:eastAsia="uk"/>
                </w:rPr>
                <w:t>Законом України</w:t>
              </w:r>
            </w:hyperlink>
            <w:r>
              <w:rPr>
                <w:lang w:val="uk" w:eastAsia="uk"/>
              </w:rPr>
              <w:t xml:space="preserve"> “Про захист ветеранів війни, гарантії їх соціального захисту” та </w:t>
            </w:r>
            <w:hyperlink r:id="rId10" w:tgtFrame="_blank" w:history="1">
              <w:r>
                <w:rPr>
                  <w:rStyle w:val="arvts96"/>
                  <w:lang w:val="uk" w:eastAsia="uk"/>
                </w:rPr>
                <w:t>Законом України</w:t>
              </w:r>
            </w:hyperlink>
            <w:r>
              <w:rPr>
                <w:lang w:val="uk" w:eastAsia="uk"/>
              </w:rPr>
              <w:t xml:space="preserve"> “Про жертви нацистських переслідувань”</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ЗУ «</w:t>
            </w:r>
            <w:r w:rsidRPr="00122D9C">
              <w:rPr>
                <w:bCs/>
                <w:color w:val="333333"/>
                <w:sz w:val="22"/>
                <w:szCs w:val="22"/>
                <w:shd w:val="clear" w:color="auto" w:fill="FFFFFF"/>
                <w:lang w:val="ru-RU"/>
              </w:rPr>
              <w:t>Про статус ветеранів війни, гарантії їх соціального захисту</w:t>
            </w:r>
            <w:r w:rsidRPr="00103EF1">
              <w:rPr>
                <w:bCs/>
                <w:color w:val="333333"/>
                <w:sz w:val="22"/>
                <w:szCs w:val="22"/>
                <w:shd w:val="clear" w:color="auto" w:fill="FFFFFF"/>
                <w:lang w:val="uk-UA"/>
              </w:rPr>
              <w:t>»,</w:t>
            </w:r>
            <w:r w:rsidRPr="00122D9C">
              <w:rPr>
                <w:bCs/>
                <w:color w:val="333333"/>
                <w:sz w:val="22"/>
                <w:szCs w:val="22"/>
                <w:shd w:val="clear" w:color="auto" w:fill="FFFFFF"/>
                <w:lang w:val="ru-RU"/>
              </w:rPr>
              <w:t xml:space="preserve"> </w:t>
            </w:r>
            <w:r w:rsidRPr="00103EF1">
              <w:rPr>
                <w:bCs/>
                <w:color w:val="333333"/>
                <w:sz w:val="22"/>
                <w:szCs w:val="22"/>
                <w:shd w:val="clear" w:color="auto" w:fill="FFFFFF"/>
                <w:lang w:val="uk-UA"/>
              </w:rPr>
              <w:t>ЗУ «</w:t>
            </w:r>
            <w:r w:rsidRPr="00122D9C">
              <w:rPr>
                <w:bCs/>
                <w:color w:val="333333"/>
                <w:sz w:val="22"/>
                <w:szCs w:val="22"/>
                <w:shd w:val="clear" w:color="auto" w:fill="FFFFFF"/>
                <w:lang w:val="ru-RU"/>
              </w:rPr>
              <w:t>Про жертви нацистських переслідувань</w:t>
            </w:r>
            <w:r w:rsidRPr="00103EF1">
              <w:rPr>
                <w:bCs/>
                <w:color w:val="333333"/>
                <w:sz w:val="22"/>
                <w:szCs w:val="22"/>
                <w:shd w:val="clear" w:color="auto" w:fill="FFFFFF"/>
                <w:lang w:val="uk-UA"/>
              </w:rPr>
              <w:t>»,</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01746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Прийняття рішення про надання грошової компенсації постраждалим особам, житлові будинки (квартири) яких зруйновано внаслідок надзвичайної ситуації воєнного характеру, спричиненої збройною агресією Російської Федерації</w:t>
            </w:r>
          </w:p>
        </w:tc>
        <w:tc>
          <w:tcPr>
            <w:tcW w:w="1920" w:type="pct"/>
          </w:tcPr>
          <w:p w:rsidR="00CF5320" w:rsidRDefault="00CF5320">
            <w:pPr>
              <w:pStyle w:val="rvps12"/>
              <w:spacing w:before="150" w:after="150"/>
              <w:rPr>
                <w:lang w:val="uk" w:eastAsia="uk"/>
              </w:rPr>
            </w:pPr>
            <w:r w:rsidRPr="00103EF1">
              <w:rPr>
                <w:bCs/>
                <w:color w:val="333333"/>
                <w:sz w:val="22"/>
                <w:szCs w:val="22"/>
                <w:shd w:val="clear" w:color="auto" w:fill="FFFFFF"/>
                <w:lang w:val="uk-UA"/>
              </w:rPr>
              <w:t xml:space="preserve">Постанова </w:t>
            </w:r>
            <w:r w:rsidRPr="00122D9C">
              <w:rPr>
                <w:bCs/>
                <w:color w:val="333333"/>
                <w:sz w:val="22"/>
                <w:szCs w:val="22"/>
                <w:shd w:val="clear" w:color="auto" w:fill="FFFFFF"/>
                <w:lang w:val="uk"/>
              </w:rPr>
              <w:t>від 2 вересня 2020 р. № 767</w:t>
            </w:r>
            <w:r w:rsidRPr="00103EF1">
              <w:rPr>
                <w:bCs/>
                <w:color w:val="333333"/>
                <w:sz w:val="22"/>
                <w:szCs w:val="22"/>
                <w:shd w:val="clear" w:color="auto" w:fill="FFFFFF"/>
                <w:lang w:val="uk-UA"/>
              </w:rPr>
              <w:t xml:space="preserve"> «</w:t>
            </w:r>
            <w:r w:rsidRPr="00122D9C">
              <w:rPr>
                <w:bCs/>
                <w:color w:val="333333"/>
                <w:sz w:val="22"/>
                <w:szCs w:val="22"/>
                <w:shd w:val="clear" w:color="auto" w:fill="FFFFFF"/>
                <w:lang w:val="uk"/>
              </w:rPr>
              <w:t xml:space="preserve">Питання виплати грошової компенсації постраждалим, житлові будинки (квартири) яких зруйновано внаслідок надзвичайної ситуації воєнного характеру, спричиненої збройною агресією </w:t>
            </w:r>
            <w:r w:rsidRPr="00103EF1">
              <w:rPr>
                <w:bCs/>
                <w:color w:val="333333"/>
                <w:sz w:val="22"/>
                <w:szCs w:val="22"/>
                <w:shd w:val="clear" w:color="auto" w:fill="FFFFFF"/>
              </w:rPr>
              <w:t>Російської Федерації</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02540</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для виплати компенсації вартості самостійного санаторно-курортного лікування осіб, стосовно яких встановлено факт позбавлення особистої свободи внаслідок збройної агресії проти України</w:t>
            </w:r>
          </w:p>
        </w:tc>
        <w:tc>
          <w:tcPr>
            <w:tcW w:w="1920" w:type="pct"/>
          </w:tcPr>
          <w:p w:rsidR="00CF5320" w:rsidRDefault="00CF5320">
            <w:pPr>
              <w:pStyle w:val="rvps12"/>
              <w:spacing w:before="150" w:after="150"/>
              <w:rPr>
                <w:lang w:val="uk" w:eastAsia="uk"/>
              </w:rPr>
            </w:pPr>
            <w:r w:rsidRPr="007C7B52">
              <w:rPr>
                <w:bCs/>
                <w:color w:val="333333"/>
                <w:sz w:val="22"/>
                <w:szCs w:val="22"/>
                <w:shd w:val="clear" w:color="auto" w:fill="FFFFFF"/>
                <w:lang w:val="uk-UA"/>
              </w:rPr>
              <w:t xml:space="preserve">Постанова </w:t>
            </w:r>
            <w:r w:rsidRPr="00122D9C">
              <w:rPr>
                <w:bCs/>
                <w:color w:val="333333"/>
                <w:sz w:val="22"/>
                <w:szCs w:val="22"/>
                <w:shd w:val="clear" w:color="auto" w:fill="FFFFFF"/>
                <w:lang w:val="ru-RU"/>
              </w:rPr>
              <w:t>від 22 лютого 2006 р. № 187</w:t>
            </w:r>
            <w:r w:rsidRPr="007C7B52">
              <w:rPr>
                <w:bCs/>
                <w:color w:val="333333"/>
                <w:sz w:val="22"/>
                <w:szCs w:val="22"/>
                <w:shd w:val="clear" w:color="auto" w:fill="FFFFFF"/>
                <w:lang w:val="uk-UA"/>
              </w:rPr>
              <w:t xml:space="preserve"> ЗУ»</w:t>
            </w:r>
            <w:r w:rsidRPr="00122D9C">
              <w:rPr>
                <w:bCs/>
                <w:color w:val="333333"/>
                <w:sz w:val="22"/>
                <w:szCs w:val="22"/>
                <w:shd w:val="clear" w:color="auto" w:fill="FFFFFF"/>
                <w:lang w:val="ru-RU"/>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01392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 xml:space="preserve">Внесення до Реєстру осіб, які мають право на пільги, відомостей про фізичних осіб, які мають право на пільги за соціальною ознакою відповідно до законів України, </w:t>
            </w:r>
            <w:r>
              <w:rPr>
                <w:lang w:val="uk" w:eastAsia="uk"/>
              </w:rPr>
              <w:lastRenderedPageBreak/>
              <w:t>отримують пільги, передбачені для педагогічних, медичних, фармацевтичних працівників, працівників бібліотек, музеїв, спеціалістів із захисту рослин і працівників культури в сільській місцевості та членів сім’ї чи опікуна, на яких поширюється пільга</w:t>
            </w:r>
          </w:p>
        </w:tc>
        <w:tc>
          <w:tcPr>
            <w:tcW w:w="1920" w:type="pct"/>
          </w:tcPr>
          <w:p w:rsidR="00CF5320" w:rsidRDefault="00CF5320">
            <w:pPr>
              <w:pStyle w:val="rvps12"/>
              <w:spacing w:before="150" w:after="150"/>
              <w:rPr>
                <w:lang w:val="uk" w:eastAsia="uk"/>
              </w:rPr>
            </w:pPr>
            <w:r>
              <w:rPr>
                <w:lang w:val="uk" w:eastAsia="uk"/>
              </w:rPr>
              <w:lastRenderedPageBreak/>
              <w:t>Бюджетний кодекс України</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02542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тимчасової допомоги на дітей, щодо яких встановлено факт відсутності батьківського піклування та які тимчасово влаштовані в сім’ю родичів, знайомих, прийомну сім’ю або дитячий будинок сімейного типу, “Дитина не одна”</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122D9C">
              <w:rPr>
                <w:bCs/>
                <w:color w:val="333333"/>
                <w:shd w:val="clear" w:color="auto" w:fill="FFFFFF"/>
                <w:lang w:val="ru-RU"/>
              </w:rPr>
              <w:t>Про забезпечення організаційно-правових умов соціального захисту дітей-сиріт та дітей, позбавлених батьківського піклування</w:t>
            </w:r>
            <w:r w:rsidRPr="00A660B0">
              <w:rPr>
                <w:bCs/>
                <w:color w:val="333333"/>
                <w:shd w:val="clear" w:color="auto" w:fill="FFFFFF"/>
                <w:lang w:val="uk-UA"/>
              </w:rPr>
              <w:t>»</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00036</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громадян, які потребують поліпшення житлових умов</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Постанова «</w:t>
            </w:r>
            <w:r w:rsidRPr="00122D9C">
              <w:rPr>
                <w:bCs/>
                <w:color w:val="333333"/>
                <w:shd w:val="clear" w:color="auto" w:fill="FFFFFF"/>
                <w:lang w:val="ru-RU"/>
              </w:rPr>
              <w:t>Про Єдиний державний реєстр громадян, які потребують поліпшення житлових умов</w:t>
            </w:r>
            <w:r w:rsidRPr="00A660B0">
              <w:rPr>
                <w:bCs/>
                <w:color w:val="333333"/>
                <w:shd w:val="clear" w:color="auto" w:fill="FFFFFF"/>
                <w:lang w:val="uk-UA"/>
              </w:rPr>
              <w:t>»</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01471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громадян, які потребують надання житлового 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Постанова «</w:t>
            </w:r>
            <w:r w:rsidRPr="00122D9C">
              <w:rPr>
                <w:bCs/>
                <w:color w:val="333333"/>
                <w:shd w:val="clear" w:color="auto" w:fill="FFFFFF"/>
                <w:lang w:val="ru-RU"/>
              </w:rPr>
              <w:t>Про Єдиний державний реєстр громадян, які потребують поліпшення житлових умов</w:t>
            </w:r>
            <w:r w:rsidRPr="00A660B0">
              <w:rPr>
                <w:bCs/>
                <w:color w:val="333333"/>
                <w:shd w:val="clear" w:color="auto" w:fill="FFFFFF"/>
                <w:lang w:val="uk-UA"/>
              </w:rPr>
              <w:t>»</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00751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Встановлення статусу, видача посвідчень ветеранам праці</w:t>
            </w:r>
          </w:p>
        </w:tc>
        <w:tc>
          <w:tcPr>
            <w:tcW w:w="1920" w:type="pct"/>
          </w:tcPr>
          <w:p w:rsidR="00CF5320" w:rsidRDefault="00CF5320">
            <w:pPr>
              <w:pStyle w:val="rvps12"/>
              <w:spacing w:before="150" w:after="150"/>
              <w:rPr>
                <w:lang w:val="uk" w:eastAsia="uk"/>
              </w:rPr>
            </w:pPr>
            <w:r w:rsidRPr="00A660B0">
              <w:rPr>
                <w:bCs/>
                <w:color w:val="333333"/>
                <w:shd w:val="clear" w:color="auto" w:fill="FFFFFF"/>
                <w:lang w:val="uk-UA"/>
              </w:rPr>
              <w:t>ЗУ «</w:t>
            </w:r>
            <w:r w:rsidRPr="00122D9C">
              <w:rPr>
                <w:bCs/>
                <w:color w:val="333333"/>
                <w:shd w:val="clear" w:color="auto" w:fill="FFFFFF"/>
                <w:lang w:val="ru-RU"/>
              </w:rPr>
              <w:t>Про основні засади соціального захисту ветеранів праці та інших громадян похилого віку в Україні</w:t>
            </w:r>
            <w:r w:rsidRPr="00A660B0">
              <w:rPr>
                <w:bCs/>
                <w:color w:val="333333"/>
                <w:shd w:val="clear" w:color="auto" w:fill="FFFFFF"/>
                <w:lang w:val="uk-UA"/>
              </w:rPr>
              <w:t>»</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01257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Взяття на облік внутрішньо переміщених осіб, які потребують надання житлового приміщення з фондів житла для тимчасового проживання</w:t>
            </w:r>
          </w:p>
        </w:tc>
        <w:tc>
          <w:tcPr>
            <w:tcW w:w="1920" w:type="pct"/>
          </w:tcPr>
          <w:p w:rsidR="00CF5320" w:rsidRDefault="00CF5320">
            <w:pPr>
              <w:pStyle w:val="rvps12"/>
              <w:spacing w:before="150" w:after="150"/>
              <w:rPr>
                <w:lang w:val="uk" w:eastAsia="uk"/>
              </w:rPr>
            </w:pPr>
            <w:r w:rsidRPr="008E52E2">
              <w:rPr>
                <w:bCs/>
                <w:color w:val="333333"/>
                <w:shd w:val="clear" w:color="auto" w:fill="FFFFFF"/>
                <w:lang w:val="uk-UA"/>
              </w:rPr>
              <w:t>Постанова «</w:t>
            </w:r>
            <w:r w:rsidRPr="00122D9C">
              <w:rPr>
                <w:bCs/>
                <w:color w:val="333333"/>
                <w:shd w:val="clear" w:color="auto" w:fill="FFFFFF"/>
                <w:lang w:val="ru-RU"/>
              </w:rPr>
              <w:t>Про затвердження Порядку формування фондів житла для тимчасового проживання внутрішньо переміщених осіб і Порядку надання в тимчасове користування житлових приміщень з фондів житла для тимчасового проживання внутрішньо переміщених осіб</w:t>
            </w:r>
            <w:r w:rsidRPr="008E52E2">
              <w:rPr>
                <w:bCs/>
                <w:color w:val="333333"/>
                <w:shd w:val="clear" w:color="auto" w:fill="FFFFFF"/>
                <w:lang w:val="uk-UA"/>
              </w:rPr>
              <w:t>»</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00169</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Видача довідки про взяття на облік внутрішньо переміщеної особи</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01622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Призначення грошової компенсації за належні для отримання жилі приміщення</w:t>
            </w:r>
          </w:p>
        </w:tc>
        <w:tc>
          <w:tcPr>
            <w:tcW w:w="1920" w:type="pct"/>
          </w:tcPr>
          <w:p w:rsidR="00CF5320" w:rsidRDefault="00CF5320">
            <w:pPr>
              <w:pStyle w:val="rvps12"/>
              <w:spacing w:before="150" w:after="150"/>
              <w:rPr>
                <w:lang w:val="uk" w:eastAsia="uk"/>
              </w:rPr>
            </w:pPr>
            <w:r w:rsidRPr="008E52E2">
              <w:rPr>
                <w:rFonts w:eastAsia="Calibri"/>
                <w:lang w:val="uk-UA"/>
              </w:rPr>
              <w:t>Житловий кодекс</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02417</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допомоги на проживання внутрішньо переміщеним особам</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забезпечення прав і свобод внутрішньо переміщених осіб»</w:t>
            </w:r>
          </w:p>
        </w:tc>
      </w:tr>
      <w:tr w:rsidR="00CF5320"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01433</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Рішення про продовження строку надання житлового приміщення з фондів житла для тимчасового проживання внутрішньо переміщених осіб</w:t>
            </w:r>
          </w:p>
        </w:tc>
        <w:tc>
          <w:tcPr>
            <w:tcW w:w="1920" w:type="pct"/>
          </w:tcPr>
          <w:p w:rsidR="00CF5320" w:rsidRDefault="00CF5320">
            <w:pPr>
              <w:pStyle w:val="rvps12"/>
              <w:spacing w:before="150" w:after="150"/>
              <w:rPr>
                <w:lang w:val="uk" w:eastAsia="uk"/>
              </w:rPr>
            </w:pPr>
            <w:r>
              <w:rPr>
                <w:lang w:val="uk" w:eastAsia="uk"/>
              </w:rPr>
              <w:t>Житловий кодекс</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01262</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Надання статусу дитини, яка постраждала внаслідок воєнних дій та збройних конфліктів</w:t>
            </w:r>
          </w:p>
        </w:tc>
        <w:tc>
          <w:tcPr>
            <w:tcW w:w="1920" w:type="pct"/>
          </w:tcPr>
          <w:p w:rsidR="00CF5320" w:rsidRDefault="00CF5320">
            <w:pPr>
              <w:pStyle w:val="rvps12"/>
              <w:spacing w:before="150" w:after="150"/>
              <w:rPr>
                <w:lang w:val="uk" w:eastAsia="uk"/>
              </w:rPr>
            </w:pPr>
            <w:r w:rsidRPr="008E52E2">
              <w:rPr>
                <w:rFonts w:eastAsia="Calibri"/>
                <w:lang w:val="uk-UA"/>
              </w:rPr>
              <w:t>Закони України «Про охорону дитинства», «Про забезпечення прав і свобод внутрішньо переміщених осіб»</w:t>
            </w:r>
          </w:p>
        </w:tc>
      </w:tr>
      <w:tr w:rsidR="00CF5320" w:rsidRPr="00122D9C" w:rsidTr="00CF5320">
        <w:trPr>
          <w:jc w:val="center"/>
        </w:trPr>
        <w:tc>
          <w:tcPr>
            <w:tcW w:w="244" w:type="pct"/>
          </w:tcPr>
          <w:p w:rsidR="00CF5320" w:rsidRDefault="00CF532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CF5320" w:rsidRDefault="00CF5320">
            <w:pPr>
              <w:pStyle w:val="rvps12"/>
              <w:spacing w:before="150" w:after="150"/>
              <w:rPr>
                <w:lang w:val="uk" w:eastAsia="uk"/>
              </w:rPr>
            </w:pPr>
            <w:r>
              <w:rPr>
                <w:lang w:val="uk" w:eastAsia="uk"/>
              </w:rPr>
              <w:t>00121</w:t>
            </w:r>
          </w:p>
        </w:tc>
        <w:tc>
          <w:tcPr>
            <w:tcW w:w="2305" w:type="pct"/>
            <w:tcMar>
              <w:top w:w="20" w:type="dxa"/>
              <w:left w:w="20" w:type="dxa"/>
              <w:bottom w:w="20" w:type="dxa"/>
              <w:right w:w="20" w:type="dxa"/>
            </w:tcMar>
            <w:hideMark/>
          </w:tcPr>
          <w:p w:rsidR="00CF5320" w:rsidRDefault="00CF5320">
            <w:pPr>
              <w:pStyle w:val="rvps14"/>
              <w:spacing w:before="150" w:after="150"/>
              <w:rPr>
                <w:lang w:val="uk" w:eastAsia="uk"/>
              </w:rPr>
            </w:pPr>
            <w:r>
              <w:rPr>
                <w:lang w:val="uk" w:eastAsia="uk"/>
              </w:rPr>
              <w:t>Установлення статусу, видача посвідчень батькам багатодітної сім’ї та дитини з багатодітної сім’ї</w:t>
            </w:r>
          </w:p>
        </w:tc>
        <w:tc>
          <w:tcPr>
            <w:tcW w:w="1920" w:type="pct"/>
          </w:tcPr>
          <w:p w:rsidR="00CF5320" w:rsidRDefault="00CF5320">
            <w:pPr>
              <w:pStyle w:val="rvps12"/>
              <w:spacing w:before="150" w:after="150"/>
              <w:rPr>
                <w:lang w:val="uk" w:eastAsia="uk"/>
              </w:rPr>
            </w:pPr>
            <w:r w:rsidRPr="008E52E2">
              <w:rPr>
                <w:rFonts w:eastAsia="Calibri"/>
                <w:lang w:val="uk-UA"/>
              </w:rPr>
              <w:t>Закон України «Про охорону дитинства»</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01200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Вклейка фотокартки в посвідчення дитини з багатодітної сім’ї у зв’язку з досягненням 14-річного віку</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RPr="00122D9C"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01194</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Видача дубліката посвідчення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RPr="00122D9C"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01196</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Продовження строку дії посвідчень батьків багатодітної сім’ї та дитини з багатодітної сім’ї</w:t>
            </w:r>
          </w:p>
        </w:tc>
        <w:tc>
          <w:tcPr>
            <w:tcW w:w="1920" w:type="pct"/>
          </w:tcPr>
          <w:p w:rsidR="00EF3266" w:rsidRDefault="00EF3266" w:rsidP="008E52E2">
            <w:pPr>
              <w:pStyle w:val="rvps12"/>
              <w:spacing w:before="150" w:after="150"/>
              <w:rPr>
                <w:lang w:val="uk" w:eastAsia="uk"/>
              </w:rPr>
            </w:pPr>
            <w:r w:rsidRPr="00F61CD5">
              <w:rPr>
                <w:rFonts w:eastAsia="Calibri"/>
                <w:lang w:val="uk-UA"/>
              </w:rPr>
              <w:t>Закон України «Про охорону дитинства»</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00135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одноразової винагороди жінкам, яким присвоєно почесне звання України “Мати-героїня”</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державні нагороди України»</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при народженні дитини</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00143</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 xml:space="preserve">Призначення державної допомоги у зв’язку з вагітністю та </w:t>
            </w:r>
            <w:r>
              <w:rPr>
                <w:lang w:val="uk" w:eastAsia="uk"/>
              </w:rPr>
              <w:lastRenderedPageBreak/>
              <w:t>пологами жінкам, які не застраховані в системі загальнообов’язкового державного соціального страхування</w:t>
            </w:r>
          </w:p>
        </w:tc>
        <w:tc>
          <w:tcPr>
            <w:tcW w:w="1920" w:type="pct"/>
          </w:tcPr>
          <w:p w:rsidR="00EF3266" w:rsidRDefault="00EF3266">
            <w:pPr>
              <w:pStyle w:val="rvps12"/>
              <w:spacing w:before="150" w:after="150"/>
              <w:rPr>
                <w:lang w:val="uk" w:eastAsia="uk"/>
              </w:rPr>
            </w:pPr>
            <w:r w:rsidRPr="008E52E2">
              <w:rPr>
                <w:rFonts w:eastAsia="Calibri"/>
                <w:lang w:val="uk-UA"/>
              </w:rPr>
              <w:lastRenderedPageBreak/>
              <w:t>Закон України «Про допомогу сім’ям з дітьми»</w:t>
            </w:r>
          </w:p>
        </w:tc>
      </w:tr>
      <w:tr w:rsidR="00EF3266" w:rsidRPr="00122D9C"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00149</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над якими встановлено опіку чи піклування</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RPr="00122D9C"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00150</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на дітей одиноким матерям</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RPr="00122D9C" w:rsidTr="00CF5320">
        <w:trPr>
          <w:jc w:val="center"/>
        </w:trPr>
        <w:tc>
          <w:tcPr>
            <w:tcW w:w="244" w:type="pct"/>
          </w:tcPr>
          <w:p w:rsidR="00EF3266" w:rsidRDefault="00EF3266" w:rsidP="008E52E2">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rsidP="008E52E2">
            <w:pPr>
              <w:pStyle w:val="rvps12"/>
              <w:spacing w:before="150" w:after="150"/>
              <w:rPr>
                <w:lang w:val="uk" w:eastAsia="uk"/>
              </w:rPr>
            </w:pPr>
            <w:r>
              <w:rPr>
                <w:lang w:val="uk" w:eastAsia="uk"/>
              </w:rPr>
              <w:t>00147</w:t>
            </w:r>
          </w:p>
        </w:tc>
        <w:tc>
          <w:tcPr>
            <w:tcW w:w="2305" w:type="pct"/>
            <w:tcMar>
              <w:top w:w="20" w:type="dxa"/>
              <w:left w:w="20" w:type="dxa"/>
              <w:bottom w:w="20" w:type="dxa"/>
              <w:right w:w="20" w:type="dxa"/>
            </w:tcMar>
            <w:hideMark/>
          </w:tcPr>
          <w:p w:rsidR="00EF3266" w:rsidRDefault="00EF3266" w:rsidP="008E52E2">
            <w:pPr>
              <w:pStyle w:val="rvps14"/>
              <w:spacing w:before="150" w:after="150"/>
              <w:rPr>
                <w:lang w:val="uk" w:eastAsia="uk"/>
              </w:rPr>
            </w:pPr>
            <w:r>
              <w:rPr>
                <w:lang w:val="uk" w:eastAsia="uk"/>
              </w:rPr>
              <w:t>Призначення державної допомоги при усиновленні дитини</w:t>
            </w:r>
          </w:p>
        </w:tc>
        <w:tc>
          <w:tcPr>
            <w:tcW w:w="1920" w:type="pct"/>
          </w:tcPr>
          <w:p w:rsidR="00EF3266" w:rsidRDefault="00EF3266" w:rsidP="008E52E2">
            <w:pPr>
              <w:pStyle w:val="rvps12"/>
              <w:spacing w:before="150" w:after="150"/>
              <w:rPr>
                <w:lang w:val="uk" w:eastAsia="uk"/>
              </w:rPr>
            </w:pPr>
            <w:r w:rsidRPr="008E52E2">
              <w:rPr>
                <w:lang w:val="uk-UA"/>
              </w:rPr>
              <w:t>Закон України «Про допомогу сім’ям з дітьми»</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00959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одному з батьків, усиновлювачам, опікунам, піклувальникам, одному з прийомних батьків, батькам-вихователям, які доглядають за хворою дитиною, якій не встановлено інвалідність</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00960</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державної допомоги на дітей, які виховуються у багатодітних сім’ях</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охорону дитинства»</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01775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допомогу сім’ям з дітьми»</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01227</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вартості одноразової натуральної допомоги “пакунок малюка”</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від 30 вересня 2020 р. № 930-ІХ «Про внесення змін до Закону України «Про державну допомогу сім’ям з дітьми» щодо надання при народженні дитини одноразової натуральної допомоги «пакунок малюка»</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00154</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тимчасової державної допомоги дітям, батьки яких ухиляються від сплати аліментів, не мають можливості утримувати дитину або місце їх проживання чи перебування невідоме</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00122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 xml:space="preserve">Видача особі подання про можливість призначення її опікуном або піклувальником повнолітньої недієздатної особи або </w:t>
            </w:r>
            <w:r>
              <w:rPr>
                <w:lang w:val="uk" w:eastAsia="uk"/>
              </w:rPr>
              <w:lastRenderedPageBreak/>
              <w:t>особи, цивільна дієздатність якої обмежена</w:t>
            </w:r>
          </w:p>
        </w:tc>
        <w:tc>
          <w:tcPr>
            <w:tcW w:w="1920" w:type="pct"/>
          </w:tcPr>
          <w:p w:rsidR="00EF3266" w:rsidRDefault="00EF3266">
            <w:pPr>
              <w:pStyle w:val="rvps12"/>
              <w:spacing w:before="150" w:after="150"/>
              <w:rPr>
                <w:lang w:val="uk" w:eastAsia="uk"/>
              </w:rPr>
            </w:pPr>
            <w:r w:rsidRPr="008E52E2">
              <w:rPr>
                <w:rFonts w:eastAsia="Calibri"/>
                <w:lang w:val="uk-UA"/>
              </w:rPr>
              <w:lastRenderedPageBreak/>
              <w:t>Цивільний кодекс України</w:t>
            </w:r>
          </w:p>
        </w:tc>
      </w:tr>
      <w:tr w:rsidR="00EF3266"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01405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Оплата послуги патронату над дитиною та виплата соціальної допомоги на утримання дитини в сім’ї патронатного вихователя</w:t>
            </w:r>
          </w:p>
        </w:tc>
        <w:tc>
          <w:tcPr>
            <w:tcW w:w="1920" w:type="pct"/>
          </w:tcPr>
          <w:p w:rsidR="00EF3266" w:rsidRDefault="00EF3266">
            <w:pPr>
              <w:pStyle w:val="rvps12"/>
              <w:spacing w:before="150" w:after="150"/>
              <w:rPr>
                <w:lang w:val="uk" w:eastAsia="uk"/>
              </w:rPr>
            </w:pPr>
            <w:r w:rsidRPr="008E52E2">
              <w:rPr>
                <w:rFonts w:eastAsia="Calibri"/>
                <w:lang w:val="uk-UA"/>
              </w:rPr>
              <w:t>Сімейний кодекс України</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01386</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і виплата державної соціальної допомоги на дітей-сиріт та дітей, позбавлених батьківського піклування, грошового забезпечення батькам-вихователям і прийомним батькам за надання соціальних послуг у дитячих будинках сімейного типу та прийомних сім’ях за принципом “гроші ходять за дитиною”</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забезпечення організаційно - правових умов соціального захисту дітей – сиріт та дітей позбавлених батьківського піклування»</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01265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Прийняття рішення (згоди) про проведення психіатричного огляду або надання психіатричної допомоги особі віком до 14 років у разі незгоди одного з батьків або за відсутності батьків</w:t>
            </w:r>
          </w:p>
        </w:tc>
        <w:tc>
          <w:tcPr>
            <w:tcW w:w="1920" w:type="pct"/>
          </w:tcPr>
          <w:p w:rsidR="00EF3266" w:rsidRDefault="00EF3266">
            <w:pPr>
              <w:pStyle w:val="rvps12"/>
              <w:spacing w:before="150" w:after="150"/>
              <w:rPr>
                <w:lang w:val="uk" w:eastAsia="uk"/>
              </w:rPr>
            </w:pPr>
            <w:r w:rsidRPr="008E52E2">
              <w:rPr>
                <w:rFonts w:eastAsia="Calibri"/>
                <w:lang w:val="uk-UA"/>
              </w:rPr>
              <w:t>Закон України «Про психіатричну допомогу»</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00119</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направлення на забезпечення допоміжними засобами реабілітації (технічними та іншими засобами реабілітації) осіб з інвалідністю, дітей з інвалідністю та інших категорій осіб</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психіатричну допомогу»</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00242</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Видача посвідчення особам з інвалідністю з дитинства та дітям з інвалідністю</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00225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особам з інвалідністю на бензин, ремонт і технічне обслуговування автомобілів та на транспортне обслуговування</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EF3266" w:rsidRPr="00122D9C" w:rsidTr="00CF5320">
        <w:trPr>
          <w:jc w:val="center"/>
        </w:trPr>
        <w:tc>
          <w:tcPr>
            <w:tcW w:w="244" w:type="pct"/>
          </w:tcPr>
          <w:p w:rsidR="00EF3266" w:rsidRDefault="00EF3266"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EF3266" w:rsidRDefault="00EF3266">
            <w:pPr>
              <w:pStyle w:val="rvps12"/>
              <w:spacing w:before="150" w:after="150"/>
              <w:rPr>
                <w:lang w:val="uk" w:eastAsia="uk"/>
              </w:rPr>
            </w:pPr>
            <w:r>
              <w:rPr>
                <w:lang w:val="uk" w:eastAsia="uk"/>
              </w:rPr>
              <w:t>01255</w:t>
            </w:r>
          </w:p>
        </w:tc>
        <w:tc>
          <w:tcPr>
            <w:tcW w:w="2305" w:type="pct"/>
            <w:tcMar>
              <w:top w:w="20" w:type="dxa"/>
              <w:left w:w="20" w:type="dxa"/>
              <w:bottom w:w="20" w:type="dxa"/>
              <w:right w:w="20" w:type="dxa"/>
            </w:tcMar>
            <w:hideMark/>
          </w:tcPr>
          <w:p w:rsidR="00EF3266" w:rsidRDefault="00EF3266">
            <w:pPr>
              <w:pStyle w:val="rvps14"/>
              <w:spacing w:before="150" w:after="150"/>
              <w:rPr>
                <w:lang w:val="uk" w:eastAsia="uk"/>
              </w:rPr>
            </w:pPr>
            <w:r>
              <w:rPr>
                <w:lang w:val="uk" w:eastAsia="uk"/>
              </w:rPr>
              <w:t>Призначення грошової компенсації замість санаторно-курортної путівки особам з інвалідністю внаслідок війни та прирівняним до них особам</w:t>
            </w:r>
          </w:p>
        </w:tc>
        <w:tc>
          <w:tcPr>
            <w:tcW w:w="1920" w:type="pct"/>
          </w:tcPr>
          <w:p w:rsidR="00EF3266" w:rsidRDefault="00EF3266">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00221</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особам з інвалідністю замість санаторно-курортної путівки</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00222</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проїзду до санаторно-курортного закладу (відділення спинального профілю) і назад особам, які супроводжують осіб з інвалідністю I та II групи з наслідками травм і захворюваннями хребта та спинного мозку</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00223</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самостійного санаторно-курортного лікування осіб з інвалідністю</w:t>
            </w:r>
          </w:p>
        </w:tc>
        <w:tc>
          <w:tcPr>
            <w:tcW w:w="1920" w:type="pct"/>
          </w:tcPr>
          <w:p w:rsidR="00F47570" w:rsidRDefault="00F47570">
            <w:pPr>
              <w:pStyle w:val="rvps12"/>
              <w:spacing w:before="150" w:after="150"/>
              <w:rPr>
                <w:lang w:val="uk" w:eastAsia="uk"/>
              </w:rPr>
            </w:pPr>
            <w:r w:rsidRPr="00BF07F4">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00224</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Призначення грошової компенсації замість санаторно-курортної путівки громадянам,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00226</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з інвалідністю</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rsidP="00BF07F4">
            <w:pPr>
              <w:pStyle w:val="rvps12"/>
              <w:spacing w:before="150" w:after="150"/>
              <w:rPr>
                <w:lang w:val="uk" w:eastAsia="uk"/>
              </w:rPr>
            </w:pPr>
            <w:r>
              <w:rPr>
                <w:lang w:val="uk" w:eastAsia="uk"/>
              </w:rPr>
              <w:t>00229</w:t>
            </w:r>
          </w:p>
        </w:tc>
        <w:tc>
          <w:tcPr>
            <w:tcW w:w="2305" w:type="pct"/>
            <w:tcMar>
              <w:top w:w="20" w:type="dxa"/>
              <w:left w:w="20" w:type="dxa"/>
              <w:bottom w:w="20" w:type="dxa"/>
              <w:right w:w="20" w:type="dxa"/>
            </w:tcMar>
            <w:hideMark/>
          </w:tcPr>
          <w:p w:rsidR="00F47570" w:rsidRDefault="00F47570" w:rsidP="00BF07F4">
            <w:pPr>
              <w:pStyle w:val="rvps14"/>
              <w:spacing w:before="150" w:after="150"/>
              <w:rPr>
                <w:lang w:val="uk" w:eastAsia="uk"/>
              </w:rPr>
            </w:pPr>
            <w:r>
              <w:rPr>
                <w:lang w:val="uk" w:eastAsia="uk"/>
              </w:rPr>
              <w:t>Взяття на облік для забезпечення санаторно-курортним лікуванням (путівками) громадян, які постраждали внаслідок Чорнобильської катастрофи</w:t>
            </w:r>
          </w:p>
        </w:tc>
        <w:tc>
          <w:tcPr>
            <w:tcW w:w="1920" w:type="pct"/>
          </w:tcPr>
          <w:p w:rsidR="00F47570" w:rsidRDefault="00F47570" w:rsidP="00BF07F4">
            <w:pPr>
              <w:pStyle w:val="rvps12"/>
              <w:spacing w:before="150" w:after="150"/>
              <w:rPr>
                <w:lang w:val="uk" w:eastAsia="uk"/>
              </w:rPr>
            </w:pPr>
            <w:r w:rsidRPr="00510BD0">
              <w:rPr>
                <w:rFonts w:eastAsia="Calibri"/>
                <w:lang w:val="uk-UA"/>
              </w:rPr>
              <w:t>Закон України «Про  реабілітацію осіб з інвалідністю»</w:t>
            </w:r>
          </w:p>
        </w:tc>
      </w:tr>
      <w:tr w:rsidR="00F47570" w:rsidRPr="00122D9C" w:rsidTr="00CF5320">
        <w:trPr>
          <w:jc w:val="center"/>
        </w:trPr>
        <w:tc>
          <w:tcPr>
            <w:tcW w:w="244" w:type="pct"/>
          </w:tcPr>
          <w:p w:rsidR="00F47570" w:rsidRDefault="00F47570"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F47570" w:rsidRDefault="00F47570">
            <w:pPr>
              <w:pStyle w:val="rvps12"/>
              <w:spacing w:before="150" w:after="150"/>
              <w:rPr>
                <w:lang w:val="uk" w:eastAsia="uk"/>
              </w:rPr>
            </w:pPr>
            <w:r>
              <w:rPr>
                <w:lang w:val="uk" w:eastAsia="uk"/>
              </w:rPr>
              <w:t>00220</w:t>
            </w:r>
          </w:p>
        </w:tc>
        <w:tc>
          <w:tcPr>
            <w:tcW w:w="2305" w:type="pct"/>
            <w:tcMar>
              <w:top w:w="20" w:type="dxa"/>
              <w:left w:w="20" w:type="dxa"/>
              <w:bottom w:w="20" w:type="dxa"/>
              <w:right w:w="20" w:type="dxa"/>
            </w:tcMar>
            <w:hideMark/>
          </w:tcPr>
          <w:p w:rsidR="00F47570" w:rsidRDefault="00F47570">
            <w:pPr>
              <w:pStyle w:val="rvps14"/>
              <w:spacing w:before="150" w:after="150"/>
              <w:rPr>
                <w:lang w:val="uk" w:eastAsia="uk"/>
              </w:rPr>
            </w:pPr>
            <w:r>
              <w:rPr>
                <w:lang w:val="uk" w:eastAsia="uk"/>
              </w:rPr>
              <w:t>Призначення грошової компенсації вартості проїзду до санаторно-курортного закладу і назад особам з інвалідністю внаслідок війни та прирівняним до них особам</w:t>
            </w:r>
          </w:p>
        </w:tc>
        <w:tc>
          <w:tcPr>
            <w:tcW w:w="1920" w:type="pct"/>
          </w:tcPr>
          <w:p w:rsidR="00F47570" w:rsidRDefault="00F47570">
            <w:pPr>
              <w:pStyle w:val="rvps12"/>
              <w:spacing w:before="150" w:after="150"/>
              <w:rPr>
                <w:lang w:val="uk" w:eastAsia="uk"/>
              </w:rPr>
            </w:pPr>
            <w:r w:rsidRPr="00BF07F4">
              <w:rPr>
                <w:rFonts w:eastAsia="Calibri"/>
                <w:lang w:val="uk-UA"/>
              </w:rPr>
              <w:t xml:space="preserve">Закон України «Про статус ветеранів війни, гарантії їх соціального захисту»  </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з інвалідністю з дитинства та дітям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з інвалідністю з дитинства та дітям з інвалідністю»</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 xml:space="preserve">Призначення грошової допомоги особі, яка проживає разом з особою з інвалідністю I чи II групи внаслідок психічного </w:t>
            </w:r>
            <w:r>
              <w:rPr>
                <w:lang w:val="uk" w:eastAsia="uk"/>
              </w:rPr>
              <w:lastRenderedPageBreak/>
              <w:t>розладу, яка за висновком лікарсько-консультативної комісії закладу охорони здоров’я потребує постійного стороннього догляду, на догляд за нею</w:t>
            </w:r>
          </w:p>
        </w:tc>
        <w:tc>
          <w:tcPr>
            <w:tcW w:w="1920" w:type="pct"/>
          </w:tcPr>
          <w:p w:rsidR="008D67D3" w:rsidRDefault="008D67D3">
            <w:pPr>
              <w:pStyle w:val="rvps12"/>
              <w:spacing w:before="150" w:after="150"/>
              <w:rPr>
                <w:lang w:val="uk" w:eastAsia="uk"/>
              </w:rPr>
            </w:pPr>
            <w:r w:rsidRPr="00BF07F4">
              <w:rPr>
                <w:rFonts w:eastAsia="Calibri"/>
                <w:lang w:val="uk-UA"/>
              </w:rPr>
              <w:lastRenderedPageBreak/>
              <w:t>Закон України «Про соціальні послуги»</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на догляд</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00096</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особам, які не мають права на пенсію, та особам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особам, які не мають права на пенсію, та особам з інвалідністю»</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00141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довідки для отримання пільг особам з інвалідністю, які не мають права на пенсію чи соціальну допомогу</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надбавки на догляд за особами з інвалідністю з дитинства та дітьми з інвалідністю</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основи соціальної захищеності осіб з інвалідністю в Україні»</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00230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Встановлення статусу, видача посвідчень особам, які постраждали внаслідок Чорнобильської катастрофи (відповідно до визначених категорій)</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01404</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Компенсація вартості продуктів харчування громадянам, які постраждали внаслідок Чорнобильської катастрофи</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00232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 xml:space="preserve">Призначення компенсацій та допомоги учасникам ліквідації наслідків аварії на Чорнобильській АЕС, громадянам, які брали участь у ліквідації інших ядерних аварій та випробувань, у військових навчаннях із застосуванням ядерної зброї, у складанні ядерних зарядів та здійсненні на них регламентних робіт, віднесеним до категорії 1, або 2, або 3, потерпілим від Чорнобильської катастрофи, віднесеним до категорії 1, або 2, або 3, потерпілим від радіаційного </w:t>
            </w:r>
            <w:r>
              <w:rPr>
                <w:lang w:val="uk" w:eastAsia="uk"/>
              </w:rPr>
              <w:lastRenderedPageBreak/>
              <w:t>опромінення, віднесеним до категорії 1 або 2</w:t>
            </w:r>
          </w:p>
        </w:tc>
        <w:tc>
          <w:tcPr>
            <w:tcW w:w="1920" w:type="pct"/>
          </w:tcPr>
          <w:p w:rsidR="008D67D3" w:rsidRDefault="008D67D3" w:rsidP="00BF07F4">
            <w:pPr>
              <w:pStyle w:val="rvps12"/>
              <w:spacing w:before="150" w:after="150"/>
              <w:rPr>
                <w:lang w:val="uk" w:eastAsia="uk"/>
              </w:rPr>
            </w:pPr>
            <w:r w:rsidRPr="006A41DD">
              <w:rPr>
                <w:rFonts w:eastAsia="Calibri"/>
                <w:lang w:val="uk-UA"/>
              </w:rPr>
              <w:lastRenderedPageBreak/>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батькам померлого учасника ліквідації наслідків аварії на Чорнобильській АЕС, смерть якого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6A41DD">
              <w:rPr>
                <w:rFonts w:eastAsia="Calibri"/>
                <w:lang w:val="uk-UA"/>
              </w:rPr>
              <w:t xml:space="preserve">Закон України «Про статус і соціальний захист громадян, </w:t>
            </w:r>
            <w:r w:rsidRPr="006A41DD">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01191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одноразової компенсації дружинам (чоловікам), якщо та (той) не одружилися вдруге, померлих громадян, смерть яких пов’язана з Чорнобильською катастрофою, участю в ліквідації наслідків інших ядерних аварій, у ядерних випробуваннях, військових навчаннях із застосуванням ядерної зброї, у складанні ядерних зарядів та здійсненні на них регламентних робіт</w:t>
            </w:r>
          </w:p>
        </w:tc>
        <w:tc>
          <w:tcPr>
            <w:tcW w:w="1920" w:type="pct"/>
          </w:tcPr>
          <w:p w:rsidR="008D67D3" w:rsidRPr="00BF07F4" w:rsidRDefault="008D67D3" w:rsidP="00BF07F4">
            <w:pPr>
              <w:ind w:left="57"/>
              <w:rPr>
                <w:rFonts w:eastAsia="Calibri"/>
                <w:color w:val="000000"/>
                <w:lang w:val="uk-UA"/>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p w:rsidR="008D67D3" w:rsidRDefault="008D67D3">
            <w:pPr>
              <w:pStyle w:val="rvps12"/>
              <w:spacing w:before="150" w:after="150"/>
              <w:rPr>
                <w:lang w:val="uk" w:eastAsia="uk"/>
              </w:rPr>
            </w:pP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00172</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одноразової компенсації сім’ям, які втратили годувальника із числа учасників ліквідації наслідків аварії на Чорнобильській АЕС, смерть яких пов’язана з Чорнобильською катастрофою</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00170</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компенсацій та допомоги дітям, які потерпіли від Чорнобильської катастрофи, дітям з інвалідністю, інвалідність яких пов’язана з Чорнобильською катастрофою, та їх батькам</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02543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Призначення щомісячної грошової компенсації на дітей, які навчаються в закладах загальної середньої, професійної (професійно-технічної) освіти, закладах фахової передвищої освіти, розташованих на територіях радіоактивного забруднення, а також дітей з інвалідністю, пов’язаною з наслідками Чорнобильської катастрофи, і які не харчуються в їдальнях зазначених закладів освіти, а також за всі дні, коли перелічені особи не відвідували такі заклади, до досягнення ними повноліття</w:t>
            </w:r>
          </w:p>
        </w:tc>
        <w:tc>
          <w:tcPr>
            <w:tcW w:w="1920" w:type="pct"/>
          </w:tcPr>
          <w:p w:rsidR="008D67D3" w:rsidRDefault="008D67D3" w:rsidP="00BF07F4">
            <w:pPr>
              <w:pStyle w:val="rvps12"/>
              <w:spacing w:before="150" w:after="150"/>
              <w:rPr>
                <w:lang w:val="uk" w:eastAsia="uk"/>
              </w:rPr>
            </w:pPr>
            <w:r w:rsidRPr="00BF07F4">
              <w:rPr>
                <w:rFonts w:eastAsia="Calibri"/>
                <w:lang w:val="uk-UA"/>
              </w:rPr>
              <w:t xml:space="preserve">Закон України «Про статус і соціальний захист громадян, </w:t>
            </w:r>
            <w:r w:rsidRPr="00BF07F4">
              <w:rPr>
                <w:rFonts w:eastAsia="Calibri"/>
                <w:color w:val="000000"/>
                <w:lang w:val="uk-UA"/>
              </w:rPr>
              <w:t>які постраждали внаслідок Чорнобильської катастрофи»</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00133</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державної соціальної допомоги малозабезпеченим сім’ям</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державну соціальну допомогу малозабезпеченим сім’ям»</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01170</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Видача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01172</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Внесення змін до дозволу на застосування праці іноземців та осіб без громадянства</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зайнятість населення»</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01173</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Продовження дії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RPr="00122D9C" w:rsidTr="00CF5320">
        <w:trPr>
          <w:jc w:val="center"/>
        </w:trPr>
        <w:tc>
          <w:tcPr>
            <w:tcW w:w="244" w:type="pct"/>
          </w:tcPr>
          <w:p w:rsidR="008D67D3" w:rsidRDefault="008D67D3" w:rsidP="00BF07F4">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rsidP="00BF07F4">
            <w:pPr>
              <w:pStyle w:val="rvps12"/>
              <w:spacing w:before="150" w:after="150"/>
              <w:rPr>
                <w:lang w:val="uk" w:eastAsia="uk"/>
              </w:rPr>
            </w:pPr>
            <w:r>
              <w:rPr>
                <w:lang w:val="uk" w:eastAsia="uk"/>
              </w:rPr>
              <w:t>01171</w:t>
            </w:r>
          </w:p>
        </w:tc>
        <w:tc>
          <w:tcPr>
            <w:tcW w:w="2305" w:type="pct"/>
            <w:tcMar>
              <w:top w:w="20" w:type="dxa"/>
              <w:left w:w="20" w:type="dxa"/>
              <w:bottom w:w="20" w:type="dxa"/>
              <w:right w:w="20" w:type="dxa"/>
            </w:tcMar>
            <w:hideMark/>
          </w:tcPr>
          <w:p w:rsidR="008D67D3" w:rsidRDefault="008D67D3" w:rsidP="00BF07F4">
            <w:pPr>
              <w:pStyle w:val="rvps14"/>
              <w:spacing w:before="150" w:after="150"/>
              <w:rPr>
                <w:lang w:val="uk" w:eastAsia="uk"/>
              </w:rPr>
            </w:pPr>
            <w:r>
              <w:rPr>
                <w:lang w:val="uk" w:eastAsia="uk"/>
              </w:rPr>
              <w:t>Відкликання дозволу на застосування праці іноземців та осіб без громадянства</w:t>
            </w:r>
          </w:p>
        </w:tc>
        <w:tc>
          <w:tcPr>
            <w:tcW w:w="1920" w:type="pct"/>
          </w:tcPr>
          <w:p w:rsidR="008D67D3" w:rsidRDefault="008D67D3" w:rsidP="00BF07F4">
            <w:pPr>
              <w:pStyle w:val="rvps12"/>
              <w:spacing w:before="150" w:after="150"/>
              <w:rPr>
                <w:lang w:val="uk" w:eastAsia="uk"/>
              </w:rPr>
            </w:pPr>
            <w:r w:rsidRPr="002775E0">
              <w:rPr>
                <w:rFonts w:eastAsia="Calibri"/>
                <w:lang w:val="uk-UA"/>
              </w:rPr>
              <w:t>Закон України «Про  зайнятість населення»</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01974</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пільги на оплату житлово-комунальних послуг</w:t>
            </w:r>
          </w:p>
        </w:tc>
        <w:tc>
          <w:tcPr>
            <w:tcW w:w="1920" w:type="pct"/>
          </w:tcPr>
          <w:p w:rsidR="008D67D3" w:rsidRDefault="008D67D3">
            <w:pPr>
              <w:pStyle w:val="rvps12"/>
              <w:spacing w:before="150" w:after="150"/>
              <w:rPr>
                <w:lang w:val="uk" w:eastAsia="uk"/>
              </w:rPr>
            </w:pPr>
            <w:r w:rsidRPr="00BF07F4">
              <w:rPr>
                <w:rFonts w:eastAsia="Calibri"/>
                <w:lang w:val="uk-UA"/>
              </w:rPr>
              <w:t xml:space="preserve">Закони України «Про статус і соціальний захист громадян, </w:t>
            </w:r>
            <w:r w:rsidRPr="00BF07F4">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sidRPr="00BF07F4">
              <w:rPr>
                <w:rFonts w:eastAsia="Calibri"/>
                <w:lang w:val="uk-UA"/>
              </w:rPr>
              <w:t>«Про статус ветеранів війни, гарантії їх соціального захисту», «Про жертви нацистських переслідувань</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00101</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непрофесійній основі</w:t>
            </w:r>
          </w:p>
        </w:tc>
        <w:tc>
          <w:tcPr>
            <w:tcW w:w="1920" w:type="pct"/>
          </w:tcPr>
          <w:p w:rsidR="008D67D3" w:rsidRDefault="008D67D3">
            <w:pPr>
              <w:pStyle w:val="rvps12"/>
              <w:spacing w:before="150" w:after="150"/>
              <w:rPr>
                <w:lang w:val="uk" w:eastAsia="uk"/>
              </w:rPr>
            </w:pPr>
            <w:r w:rsidRPr="00BF07F4">
              <w:rPr>
                <w:rFonts w:eastAsia="Calibri"/>
                <w:lang w:val="uk-UA"/>
              </w:rPr>
              <w:t>Закон України «Про соціальні послуги»</w:t>
            </w:r>
          </w:p>
        </w:tc>
      </w:tr>
      <w:tr w:rsidR="008D67D3"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00139</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Прийняття рішення щодо надання соціальних послуг</w:t>
            </w:r>
          </w:p>
        </w:tc>
        <w:tc>
          <w:tcPr>
            <w:tcW w:w="1920" w:type="pct"/>
          </w:tcPr>
          <w:p w:rsidR="008D67D3" w:rsidRDefault="008D67D3">
            <w:pPr>
              <w:pStyle w:val="rvps12"/>
              <w:spacing w:before="150" w:after="150"/>
              <w:rPr>
                <w:lang w:val="uk" w:eastAsia="uk"/>
              </w:rPr>
            </w:pPr>
            <w:r w:rsidRPr="00206BC7">
              <w:rPr>
                <w:bCs/>
                <w:color w:val="333333"/>
                <w:shd w:val="clear" w:color="auto" w:fill="FFFFFF"/>
                <w:lang w:val="uk-UA"/>
              </w:rPr>
              <w:t>ЗУ «</w:t>
            </w:r>
            <w:r w:rsidRPr="00206BC7">
              <w:rPr>
                <w:bCs/>
                <w:color w:val="333333"/>
                <w:shd w:val="clear" w:color="auto" w:fill="FFFFFF"/>
              </w:rPr>
              <w:t>Про соціальні послуги</w:t>
            </w:r>
            <w:r w:rsidRPr="00206BC7">
              <w:rPr>
                <w:bCs/>
                <w:color w:val="333333"/>
                <w:shd w:val="clear" w:color="auto" w:fill="FFFFFF"/>
                <w:lang w:val="uk-UA"/>
              </w:rPr>
              <w:t>»</w:t>
            </w:r>
          </w:p>
        </w:tc>
      </w:tr>
      <w:tr w:rsidR="008D67D3" w:rsidRPr="00122D9C" w:rsidTr="00CF5320">
        <w:trPr>
          <w:jc w:val="center"/>
        </w:trPr>
        <w:tc>
          <w:tcPr>
            <w:tcW w:w="244" w:type="pct"/>
          </w:tcPr>
          <w:p w:rsidR="008D67D3" w:rsidRDefault="008D67D3"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8D67D3" w:rsidRDefault="008D67D3">
            <w:pPr>
              <w:pStyle w:val="rvps12"/>
              <w:spacing w:before="150" w:after="150"/>
              <w:rPr>
                <w:lang w:val="uk" w:eastAsia="uk"/>
              </w:rPr>
            </w:pPr>
            <w:r>
              <w:rPr>
                <w:lang w:val="uk" w:eastAsia="uk"/>
              </w:rPr>
              <w:t>00155</w:t>
            </w:r>
          </w:p>
        </w:tc>
        <w:tc>
          <w:tcPr>
            <w:tcW w:w="2305" w:type="pct"/>
            <w:tcMar>
              <w:top w:w="20" w:type="dxa"/>
              <w:left w:w="20" w:type="dxa"/>
              <w:bottom w:w="20" w:type="dxa"/>
              <w:right w:w="20" w:type="dxa"/>
            </w:tcMar>
            <w:hideMark/>
          </w:tcPr>
          <w:p w:rsidR="008D67D3" w:rsidRDefault="008D67D3">
            <w:pPr>
              <w:pStyle w:val="rvps14"/>
              <w:spacing w:before="150" w:after="150"/>
              <w:rPr>
                <w:lang w:val="uk" w:eastAsia="uk"/>
              </w:rPr>
            </w:pPr>
            <w:r>
              <w:rPr>
                <w:lang w:val="uk" w:eastAsia="uk"/>
              </w:rPr>
              <w:t>Надання субсидій для відшкодування витрат на оплату житлово-комунальних послуг, придбання скрапленого газу, твердого та рідкого пічного побутового палива</w:t>
            </w:r>
          </w:p>
        </w:tc>
        <w:tc>
          <w:tcPr>
            <w:tcW w:w="1920" w:type="pct"/>
          </w:tcPr>
          <w:p w:rsidR="008D67D3" w:rsidRDefault="008D67D3">
            <w:pPr>
              <w:pStyle w:val="rvps12"/>
              <w:spacing w:before="150" w:after="150"/>
              <w:rPr>
                <w:lang w:val="uk" w:eastAsia="uk"/>
              </w:rPr>
            </w:pPr>
            <w:r w:rsidRPr="00206BC7">
              <w:rPr>
                <w:rFonts w:eastAsia="Calibri"/>
                <w:lang w:val="uk-UA"/>
              </w:rPr>
              <w:t>Закон України «Про житлово-комунальні послуги»</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02025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Продовження виплати тимчасової державної соціальної допомоги непрацюючій особі, яка досягла загального пенсійного віку, але не набула права на пенсійну виплату</w:t>
            </w:r>
          </w:p>
        </w:tc>
        <w:tc>
          <w:tcPr>
            <w:tcW w:w="1920" w:type="pct"/>
          </w:tcPr>
          <w:p w:rsidR="00A679F8" w:rsidRDefault="00A679F8">
            <w:pPr>
              <w:pStyle w:val="rvps12"/>
              <w:spacing w:before="150" w:after="150"/>
              <w:rPr>
                <w:lang w:val="uk" w:eastAsia="uk"/>
              </w:rPr>
            </w:pPr>
            <w:r w:rsidRPr="00206BC7">
              <w:rPr>
                <w:rFonts w:eastAsia="Calibri"/>
                <w:lang w:val="uk-UA"/>
              </w:rPr>
              <w:t>Пункт 5 розділу ІІ «Прикінцеві та перехідні положення» Закону України від 03 жовтня 2017 р. № 2148-VІІІ «Про внесення змін до деяких законодавчих актів України щодо підвищення пенсій»</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00157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пільги на придбання палива, у тому числі рідкого, скрапленого балонного газу для побутових потреб</w:t>
            </w:r>
          </w:p>
        </w:tc>
        <w:tc>
          <w:tcPr>
            <w:tcW w:w="1920" w:type="pct"/>
          </w:tcPr>
          <w:p w:rsidR="00A679F8" w:rsidRDefault="00A679F8">
            <w:pPr>
              <w:pStyle w:val="rvps12"/>
              <w:spacing w:before="150" w:after="150"/>
              <w:rPr>
                <w:lang w:val="uk" w:eastAsia="uk"/>
              </w:rPr>
            </w:pPr>
            <w:r w:rsidRPr="00206BC7">
              <w:rPr>
                <w:rFonts w:eastAsia="Calibri"/>
                <w:lang w:val="uk-UA"/>
              </w:rPr>
              <w:t xml:space="preserve">Закони України «Про статус ветеранів війни, гарантії їх соціального захисту», «Про жертви нацистських переслідувань», «Про статус і соціальний захист громадян, </w:t>
            </w:r>
            <w:r w:rsidRPr="00206BC7">
              <w:rPr>
                <w:rFonts w:eastAsia="Calibri"/>
                <w:color w:val="000000"/>
                <w:lang w:val="uk-UA"/>
              </w:rPr>
              <w:t xml:space="preserve">які постраждали внаслідок Чорнобильської катастрофи», «Про соціальний і правовий захист військовослужбовців та членів їх сімей», </w:t>
            </w:r>
            <w:r w:rsidRPr="00206BC7">
              <w:rPr>
                <w:rFonts w:eastAsia="Calibri"/>
                <w:lang w:val="uk-UA"/>
              </w:rPr>
              <w:t>«Про охорону дитинства»</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Призначення компенсації за догляд фізичній особі, яка надає соціальні послуги з догляду без провадження підприємницької діяльності на професійній основі</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соціальні послуги»</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Забезпечення направлення на комплексну реабілітацію (абілітацію) осіб з інвалідністю, дітей з інвалідністю, дітей віком до трьох років (включно), які належать до групи ризику щодо отримання інвалідності, осіб, визначених в абзацах </w:t>
            </w:r>
            <w:hyperlink r:id="rId11" w:anchor="n74" w:tgtFrame="_blank" w:history="1">
              <w:r>
                <w:rPr>
                  <w:rStyle w:val="arvts96"/>
                  <w:lang w:val="uk" w:eastAsia="uk"/>
                </w:rPr>
                <w:t>шостому</w:t>
              </w:r>
            </w:hyperlink>
            <w:r>
              <w:rPr>
                <w:lang w:val="uk" w:eastAsia="uk"/>
              </w:rPr>
              <w:t xml:space="preserve"> і </w:t>
            </w:r>
            <w:hyperlink r:id="rId12" w:anchor="n560" w:tgtFrame="_blank" w:history="1">
              <w:r>
                <w:rPr>
                  <w:rStyle w:val="arvts96"/>
                  <w:lang w:val="uk" w:eastAsia="uk"/>
                </w:rPr>
                <w:t>сьомому</w:t>
              </w:r>
            </w:hyperlink>
            <w:r>
              <w:rPr>
                <w:lang w:val="uk" w:eastAsia="uk"/>
              </w:rPr>
              <w:t xml:space="preserve"> статті 4 Закону України “Про реабілітацію осіб з інвалідністю в Україні”, до державного реабілітаційного закладу, що належить до сфери управління Мінсоцполітики</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реабілітацію осіб з інвалідністю»</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01996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Забезпечення направлення дітей з інвалідністю до реабілітаційної установи для надання реабілітаційних послуг за програмою “Соціальний захист осіб із інвалідністю”</w:t>
            </w:r>
          </w:p>
        </w:tc>
        <w:tc>
          <w:tcPr>
            <w:tcW w:w="1920" w:type="pct"/>
          </w:tcPr>
          <w:p w:rsidR="00A679F8" w:rsidRDefault="00A679F8">
            <w:pPr>
              <w:pStyle w:val="rvps12"/>
              <w:spacing w:before="150" w:after="150"/>
              <w:rPr>
                <w:lang w:val="uk" w:eastAsia="uk"/>
              </w:rPr>
            </w:pPr>
            <w:r w:rsidRPr="00206BC7">
              <w:rPr>
                <w:rFonts w:eastAsia="Calibri"/>
                <w:lang w:val="uk-UA"/>
              </w:rPr>
              <w:t>Закон України про державний бюджет на відповідний рік, Закон України «Про  реабілітацію осіб з інвалідністю»</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02263</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одноразової компенсації особам з інвалідністю та дітям з інвалідністю, постраждалим внаслідок дії вибухонебезпечних предметів</w:t>
            </w:r>
          </w:p>
        </w:tc>
        <w:tc>
          <w:tcPr>
            <w:tcW w:w="1920" w:type="pct"/>
          </w:tcPr>
          <w:p w:rsidR="00A679F8" w:rsidRDefault="00122D9C">
            <w:pPr>
              <w:pStyle w:val="rvps12"/>
              <w:spacing w:before="150" w:after="150"/>
              <w:rPr>
                <w:lang w:val="uk" w:eastAsia="uk"/>
              </w:rPr>
            </w:pPr>
            <w:hyperlink r:id="rId13"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Надання щорічної допомоги на оздоровлення особам з інвалідністю та дітям з інвалідністю, постраждалим внаслідок дії вибухонебезпечних предметів</w:t>
            </w:r>
          </w:p>
        </w:tc>
        <w:tc>
          <w:tcPr>
            <w:tcW w:w="1920" w:type="pct"/>
          </w:tcPr>
          <w:p w:rsidR="00A679F8" w:rsidRDefault="00122D9C">
            <w:pPr>
              <w:pStyle w:val="rvps12"/>
              <w:spacing w:before="150" w:after="150"/>
              <w:rPr>
                <w:lang w:val="uk" w:eastAsia="uk"/>
              </w:rPr>
            </w:pPr>
            <w:hyperlink r:id="rId14" w:tgtFrame="_blank" w:history="1">
              <w:r w:rsidR="00A679F8" w:rsidRPr="00206BC7">
                <w:rPr>
                  <w:rFonts w:eastAsia="Calibri"/>
                  <w:lang w:val="uk-UA"/>
                </w:rPr>
                <w:t>Закон України</w:t>
              </w:r>
            </w:hyperlink>
            <w:r w:rsidR="00A679F8" w:rsidRPr="00206BC7">
              <w:rPr>
                <w:rFonts w:eastAsia="Calibri"/>
                <w:lang w:val="uk-UA"/>
              </w:rPr>
              <w:t> «Про протимінну діяльність в Україні»</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01735</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проведення безоплатного капітального ремонту власних житлових будинків і квартир осіб, що мають право на таку пільгу</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статус ветеранів війни, гарантії їх соціального захисту» і «Про жертви нацистських переслідувань»</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02064</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довідки про право на отримання пільг, які надаються з урахуванням доходу</w:t>
            </w:r>
          </w:p>
        </w:tc>
        <w:tc>
          <w:tcPr>
            <w:tcW w:w="1920" w:type="pct"/>
          </w:tcPr>
          <w:p w:rsidR="00A679F8" w:rsidRDefault="00A679F8">
            <w:pPr>
              <w:pStyle w:val="rvps12"/>
              <w:spacing w:before="150" w:after="150"/>
              <w:rPr>
                <w:lang w:val="uk" w:eastAsia="uk"/>
              </w:rPr>
            </w:pPr>
            <w:r w:rsidRPr="00206BC7">
              <w:rPr>
                <w:rFonts w:eastAsia="Calibri"/>
                <w:shd w:val="clear" w:color="auto" w:fill="FFFFFF"/>
                <w:lang w:val="uk-UA"/>
              </w:rPr>
              <w:t>Закони України </w:t>
            </w:r>
            <w:hyperlink r:id="rId15" w:tgtFrame="_blank" w:history="1">
              <w:r w:rsidRPr="00206BC7">
                <w:rPr>
                  <w:rFonts w:eastAsia="Calibri"/>
                  <w:shd w:val="clear" w:color="auto" w:fill="FFFFFF"/>
                  <w:lang w:val="uk-UA"/>
                </w:rPr>
                <w:t>«Про статус і соціальний захист громадян, які постраждали внаслідок Чорнобильської катастрофи</w:t>
              </w:r>
            </w:hyperlink>
            <w:r w:rsidRPr="00206BC7">
              <w:rPr>
                <w:rFonts w:eastAsia="Calibri"/>
                <w:lang w:val="uk-UA"/>
              </w:rPr>
              <w:t>»</w:t>
            </w:r>
            <w:r w:rsidRPr="00206BC7">
              <w:rPr>
                <w:rFonts w:eastAsia="Calibri"/>
                <w:shd w:val="clear" w:color="auto" w:fill="FFFFFF"/>
                <w:lang w:val="uk-UA"/>
              </w:rPr>
              <w:t>, </w:t>
            </w:r>
            <w:hyperlink r:id="rId16" w:tgtFrame="_blank" w:history="1">
              <w:r w:rsidRPr="00206BC7">
                <w:rPr>
                  <w:rFonts w:eastAsia="Calibri"/>
                  <w:shd w:val="clear" w:color="auto" w:fill="FFFFFF"/>
                  <w:lang w:val="uk-UA"/>
                </w:rPr>
                <w:t>«Про статус ветеранів війни, гарантії їх соціального захисту</w:t>
              </w:r>
            </w:hyperlink>
            <w:r w:rsidRPr="00206BC7">
              <w:rPr>
                <w:rFonts w:eastAsia="Calibri"/>
                <w:lang w:val="uk-UA"/>
              </w:rPr>
              <w:t>»</w:t>
            </w:r>
            <w:r w:rsidRPr="00206BC7">
              <w:rPr>
                <w:rFonts w:eastAsia="Calibri"/>
                <w:shd w:val="clear" w:color="auto" w:fill="FFFFFF"/>
                <w:lang w:val="uk-UA"/>
              </w:rPr>
              <w:t>, </w:t>
            </w:r>
            <w:hyperlink r:id="rId17" w:tgtFrame="_blank" w:history="1">
              <w:r w:rsidRPr="00206BC7">
                <w:rPr>
                  <w:rFonts w:eastAsia="Calibri"/>
                  <w:shd w:val="clear" w:color="auto" w:fill="FFFFFF"/>
                  <w:lang w:val="uk-UA"/>
                </w:rPr>
                <w:t>«Про основні засади соціального захисту ветеранів праці та інших громадян похилого віку в Україні</w:t>
              </w:r>
            </w:hyperlink>
            <w:r w:rsidRPr="00206BC7">
              <w:rPr>
                <w:rFonts w:eastAsia="Calibri"/>
                <w:lang w:val="uk-UA"/>
              </w:rPr>
              <w:t>»</w:t>
            </w:r>
            <w:r w:rsidRPr="00206BC7">
              <w:rPr>
                <w:rFonts w:eastAsia="Calibri"/>
                <w:shd w:val="clear" w:color="auto" w:fill="FFFFFF"/>
                <w:lang w:val="uk-UA"/>
              </w:rPr>
              <w:t>, </w:t>
            </w:r>
            <w:hyperlink r:id="rId18" w:tgtFrame="_blank" w:history="1">
              <w:r w:rsidRPr="00206BC7">
                <w:rPr>
                  <w:rFonts w:eastAsia="Calibri"/>
                  <w:shd w:val="clear" w:color="auto" w:fill="FFFFFF"/>
                  <w:lang w:val="uk-UA"/>
                </w:rPr>
                <w:t>«Про освіту</w:t>
              </w:r>
            </w:hyperlink>
            <w:r w:rsidRPr="00206BC7">
              <w:rPr>
                <w:rFonts w:eastAsia="Calibri"/>
                <w:lang w:val="uk-UA"/>
              </w:rPr>
              <w:t>»</w:t>
            </w:r>
            <w:r w:rsidRPr="00206BC7">
              <w:rPr>
                <w:rFonts w:eastAsia="Calibri"/>
                <w:shd w:val="clear" w:color="auto" w:fill="FFFFFF"/>
                <w:lang w:val="uk-UA"/>
              </w:rPr>
              <w:t>, </w:t>
            </w:r>
            <w:hyperlink r:id="rId19" w:tgtFrame="_blank" w:history="1">
              <w:r w:rsidRPr="00206BC7">
                <w:rPr>
                  <w:rFonts w:eastAsia="Calibri"/>
                  <w:shd w:val="clear" w:color="auto" w:fill="FFFFFF"/>
                  <w:lang w:val="uk-UA"/>
                </w:rPr>
                <w:t>«Про бібліотеки і бібліотечну справу</w:t>
              </w:r>
            </w:hyperlink>
            <w:r w:rsidRPr="00206BC7">
              <w:rPr>
                <w:rFonts w:eastAsia="Calibri"/>
                <w:lang w:val="uk-UA"/>
              </w:rPr>
              <w:t>»</w:t>
            </w:r>
            <w:r w:rsidRPr="00206BC7">
              <w:rPr>
                <w:rFonts w:eastAsia="Calibri"/>
                <w:shd w:val="clear" w:color="auto" w:fill="FFFFFF"/>
                <w:lang w:val="uk-UA"/>
              </w:rPr>
              <w:t>, </w:t>
            </w:r>
            <w:hyperlink r:id="rId20" w:tgtFrame="_blank" w:history="1">
              <w:r w:rsidRPr="00206BC7">
                <w:rPr>
                  <w:rFonts w:eastAsia="Calibri"/>
                  <w:shd w:val="clear" w:color="auto" w:fill="FFFFFF"/>
                  <w:lang w:val="uk-UA"/>
                </w:rPr>
                <w:t>«Про захист рослин</w:t>
              </w:r>
            </w:hyperlink>
            <w:r w:rsidRPr="00206BC7">
              <w:rPr>
                <w:rFonts w:eastAsia="Calibri"/>
                <w:lang w:val="uk-UA"/>
              </w:rPr>
              <w:t>»</w:t>
            </w:r>
            <w:r w:rsidRPr="00206BC7">
              <w:rPr>
                <w:rFonts w:eastAsia="Calibri"/>
                <w:shd w:val="clear" w:color="auto" w:fill="FFFFFF"/>
                <w:lang w:val="uk-UA"/>
              </w:rPr>
              <w:t>,</w:t>
            </w:r>
            <w:hyperlink r:id="rId21" w:tgtFrame="_blank" w:history="1">
              <w:r w:rsidRPr="00206BC7">
                <w:rPr>
                  <w:rFonts w:eastAsia="Calibri"/>
                  <w:shd w:val="clear" w:color="auto" w:fill="FFFFFF"/>
                  <w:lang w:val="uk-UA"/>
                </w:rPr>
                <w:t> «Про жертви нацистських переслідувань</w:t>
              </w:r>
            </w:hyperlink>
            <w:r w:rsidRPr="00206BC7">
              <w:rPr>
                <w:rFonts w:eastAsia="Calibri"/>
                <w:lang w:val="uk-UA"/>
              </w:rPr>
              <w:t>»</w:t>
            </w:r>
            <w:r w:rsidRPr="00206BC7">
              <w:rPr>
                <w:rFonts w:eastAsia="Calibri"/>
                <w:shd w:val="clear" w:color="auto" w:fill="FFFFFF"/>
                <w:lang w:val="uk-UA"/>
              </w:rPr>
              <w:t>, </w:t>
            </w:r>
            <w:hyperlink r:id="rId22" w:tgtFrame="_blank" w:history="1">
              <w:r w:rsidRPr="00206BC7">
                <w:rPr>
                  <w:rFonts w:eastAsia="Calibri"/>
                  <w:shd w:val="clear" w:color="auto" w:fill="FFFFFF"/>
                  <w:lang w:val="uk-UA"/>
                </w:rPr>
                <w:t>«Про охорону дитинства</w:t>
              </w:r>
            </w:hyperlink>
            <w:r w:rsidRPr="00206BC7">
              <w:rPr>
                <w:rFonts w:eastAsia="Calibri"/>
                <w:lang w:val="uk-UA"/>
              </w:rPr>
              <w:t>»</w:t>
            </w:r>
            <w:r w:rsidRPr="00206BC7">
              <w:rPr>
                <w:rFonts w:eastAsia="Calibri"/>
                <w:shd w:val="clear" w:color="auto" w:fill="FFFFFF"/>
                <w:lang w:val="uk-UA"/>
              </w:rPr>
              <w:t>, </w:t>
            </w:r>
            <w:hyperlink r:id="rId23" w:tgtFrame="_blank" w:history="1">
              <w:r w:rsidRPr="00206BC7">
                <w:rPr>
                  <w:rFonts w:eastAsia="Calibri"/>
                  <w:shd w:val="clear" w:color="auto" w:fill="FFFFFF"/>
                  <w:lang w:val="uk-UA"/>
                </w:rPr>
                <w:t>«Про соціальний захист дітей війни</w:t>
              </w:r>
            </w:hyperlink>
            <w:r w:rsidRPr="00206BC7">
              <w:rPr>
                <w:rFonts w:eastAsia="Calibri"/>
                <w:lang w:val="uk-UA"/>
              </w:rPr>
              <w:t>»</w:t>
            </w:r>
            <w:r w:rsidRPr="00206BC7">
              <w:rPr>
                <w:rFonts w:eastAsia="Calibri"/>
                <w:shd w:val="clear" w:color="auto" w:fill="FFFFFF"/>
                <w:lang w:val="uk-UA"/>
              </w:rPr>
              <w:t>, </w:t>
            </w:r>
            <w:hyperlink r:id="rId24" w:tgtFrame="_blank" w:history="1">
              <w:r w:rsidRPr="00206BC7">
                <w:rPr>
                  <w:rFonts w:eastAsia="Calibri"/>
                  <w:lang w:val="uk-UA"/>
                </w:rPr>
                <w:t>«</w:t>
              </w:r>
              <w:r w:rsidRPr="00206BC7">
                <w:rPr>
                  <w:rFonts w:eastAsia="Calibri"/>
                  <w:shd w:val="clear" w:color="auto" w:fill="FFFFFF"/>
                  <w:lang w:val="uk-UA"/>
                </w:rPr>
                <w:t>Про культуру</w:t>
              </w:r>
            </w:hyperlink>
            <w:r w:rsidRPr="00206BC7">
              <w:rPr>
                <w:rFonts w:eastAsia="Calibri"/>
                <w:lang w:val="uk-UA"/>
              </w:rPr>
              <w:t>»</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02539</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Взяття на облік для забезпечення санаторно-курортним лікуванням (путівками) осіб, стосовно яких встановлено факт позбавлення особистої свободи внаслідок збройної агресії проти України</w:t>
            </w:r>
          </w:p>
        </w:tc>
        <w:tc>
          <w:tcPr>
            <w:tcW w:w="1920" w:type="pct"/>
          </w:tcPr>
          <w:p w:rsidR="00A679F8" w:rsidRDefault="00122D9C">
            <w:pPr>
              <w:pStyle w:val="rvps12"/>
              <w:spacing w:before="150" w:after="150"/>
              <w:rPr>
                <w:lang w:val="uk" w:eastAsia="uk"/>
              </w:rPr>
            </w:pPr>
            <w:hyperlink r:id="rId25" w:tgtFrame="_blank" w:history="1">
              <w:r w:rsidR="00A679F8" w:rsidRPr="00206BC7">
                <w:rPr>
                  <w:rFonts w:eastAsia="Calibri"/>
                  <w:shd w:val="clear" w:color="auto" w:fill="FFFFFF"/>
                  <w:lang w:val="uk-UA"/>
                </w:rPr>
                <w:t>Закон України</w:t>
              </w:r>
            </w:hyperlink>
            <w:r w:rsidR="00A679F8" w:rsidRPr="00206BC7">
              <w:rPr>
                <w:rFonts w:eastAsia="Calibri"/>
                <w:color w:val="333333"/>
                <w:shd w:val="clear" w:color="auto" w:fill="FFFFFF"/>
                <w:lang w:val="ru-RU"/>
              </w:rPr>
              <w:t> </w:t>
            </w:r>
            <w:r w:rsidR="00A679F8" w:rsidRPr="00206BC7">
              <w:rPr>
                <w:rFonts w:eastAsia="Calibri"/>
                <w:color w:val="333333"/>
                <w:shd w:val="clear" w:color="auto" w:fill="FFFFFF"/>
                <w:lang w:val="uk-UA"/>
              </w:rPr>
              <w:t xml:space="preserve"> “Про соціальний і правовий захист осіб, стосовно яких встановлено факт позбавлення особистої свободи внаслідок збройної агресії проти України, та членів їхніх сімей”</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02216</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Безоплатне поховання померлих (загиблих) осіб, які мають особливі заслуги та особливі трудові заслуги перед Батьківщиною, учасників бойових дій, постраждалих учасників Революції Гідності і осіб з інвалідністю внаслідок війни</w:t>
            </w:r>
          </w:p>
        </w:tc>
        <w:tc>
          <w:tcPr>
            <w:tcW w:w="1920" w:type="pct"/>
          </w:tcPr>
          <w:p w:rsidR="00A679F8" w:rsidRDefault="00A679F8">
            <w:pPr>
              <w:pStyle w:val="rvps12"/>
              <w:spacing w:before="150" w:after="150"/>
              <w:rPr>
                <w:lang w:val="uk" w:eastAsia="uk"/>
              </w:rPr>
            </w:pPr>
            <w:r w:rsidRPr="00206BC7">
              <w:rPr>
                <w:rFonts w:eastAsia="Calibri"/>
                <w:lang w:val="uk-UA"/>
              </w:rPr>
              <w:t>Закони України «Про поховання та похорону справу», «Про статус ветеранів війни, гарантії їх соціального захисту» і «Про основні засади соціального захисту ветеранів праці та інших громадян похилого віку в Україні»</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02500</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Безоплатне спорудження надгробку на могилі померлої (загиблої) особи, яка має особливі заслуги та особливі трудові </w:t>
            </w:r>
            <w:r>
              <w:rPr>
                <w:lang w:val="uk" w:eastAsia="uk"/>
              </w:rPr>
              <w:lastRenderedPageBreak/>
              <w:t>заслуги перед Батьківщиною, за встановленим зразком</w:t>
            </w:r>
          </w:p>
        </w:tc>
        <w:tc>
          <w:tcPr>
            <w:tcW w:w="1920" w:type="pct"/>
          </w:tcPr>
          <w:p w:rsidR="00A679F8" w:rsidRDefault="00A679F8">
            <w:pPr>
              <w:pStyle w:val="rvps12"/>
              <w:spacing w:before="150" w:after="150"/>
              <w:rPr>
                <w:lang w:val="uk" w:eastAsia="uk"/>
              </w:rPr>
            </w:pPr>
            <w:r w:rsidRPr="00206BC7">
              <w:rPr>
                <w:rFonts w:eastAsia="Calibri"/>
                <w:lang w:val="uk-UA"/>
              </w:rPr>
              <w:lastRenderedPageBreak/>
              <w:t xml:space="preserve">Закони України «Про поховання та похорону справу», «Про статус ветеранів війни, гарантії їх соціального захисту» і «Про основні засади </w:t>
            </w:r>
            <w:r w:rsidRPr="00206BC7">
              <w:rPr>
                <w:rFonts w:eastAsia="Calibri"/>
                <w:lang w:val="uk-UA"/>
              </w:rPr>
              <w:lastRenderedPageBreak/>
              <w:t>соціального захисту ветеранів праці та інших громадян похилого віку в Україні»</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00228</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 xml:space="preserve">Взяття на облік для забезпечення санаторно-курортним лікуванням (путівками) ветеранів війни та осіб, на яких поширюється дія Законів України </w:t>
            </w:r>
            <w:hyperlink r:id="rId26" w:tgtFrame="_blank" w:history="1">
              <w:r>
                <w:rPr>
                  <w:rStyle w:val="arvts96"/>
                  <w:lang w:val="uk" w:eastAsia="uk"/>
                </w:rPr>
                <w:t>“Про статус ветеранів війни, гарантії їх соціального захисту”</w:t>
              </w:r>
            </w:hyperlink>
            <w:r>
              <w:rPr>
                <w:lang w:val="uk" w:eastAsia="uk"/>
              </w:rPr>
              <w:t xml:space="preserve"> та </w:t>
            </w:r>
            <w:hyperlink r:id="rId27" w:tgtFrame="_blank" w:history="1">
              <w:r>
                <w:rPr>
                  <w:rStyle w:val="arvts96"/>
                  <w:lang w:val="uk" w:eastAsia="uk"/>
                </w:rPr>
                <w:t>“Про жертви нацистських переслідувань”</w:t>
              </w:r>
            </w:hyperlink>
          </w:p>
        </w:tc>
        <w:tc>
          <w:tcPr>
            <w:tcW w:w="1920" w:type="pct"/>
          </w:tcPr>
          <w:p w:rsidR="00A679F8" w:rsidRDefault="00A679F8">
            <w:pPr>
              <w:pStyle w:val="rvps12"/>
              <w:spacing w:before="150" w:after="150"/>
              <w:rPr>
                <w:lang w:val="uk" w:eastAsia="uk"/>
              </w:rPr>
            </w:pPr>
            <w:r w:rsidRPr="00122D9C">
              <w:rPr>
                <w:bCs/>
                <w:color w:val="333333"/>
                <w:shd w:val="clear" w:color="auto" w:fill="FFFFFF"/>
                <w:lang w:val="ru-RU"/>
              </w:rPr>
              <w:t>Про затвердження Порядку забезпечення санаторно-курортними путівками деяких категорій громадян та виплати їм компенсації вартості самостійного санаторно-курортного лікування структурними підрозділами з питань соціального захисту населення районних, районних у м. Києві держадміністрацій, виконавчими органами міських, районних у містах (у разі їх утворення (крім м. Києва) рад</w:t>
            </w:r>
          </w:p>
        </w:tc>
      </w:tr>
      <w:tr w:rsidR="00A679F8" w:rsidRPr="00122D9C"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01197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Встановлення статусу, видача посвідчень жертвам нацистських переслідувань</w:t>
            </w:r>
          </w:p>
        </w:tc>
        <w:tc>
          <w:tcPr>
            <w:tcW w:w="1920" w:type="pct"/>
            <w:tcBorders>
              <w:right w:val="nil"/>
            </w:tcBorders>
          </w:tcPr>
          <w:p w:rsidR="00A679F8" w:rsidRDefault="00A679F8">
            <w:pPr>
              <w:pStyle w:val="rvps12"/>
              <w:spacing w:before="150" w:after="150"/>
              <w:rPr>
                <w:lang w:val="uk" w:eastAsia="uk"/>
              </w:rPr>
            </w:pPr>
            <w:r w:rsidRPr="00CC28D9">
              <w:rPr>
                <w:bCs/>
                <w:color w:val="333333"/>
                <w:shd w:val="clear" w:color="auto" w:fill="FFFFFF"/>
                <w:lang w:val="uk-UA"/>
              </w:rPr>
              <w:t>ЗУ «</w:t>
            </w:r>
            <w:r w:rsidRPr="00122D9C">
              <w:rPr>
                <w:bCs/>
                <w:color w:val="333333"/>
                <w:shd w:val="clear" w:color="auto" w:fill="FFFFFF"/>
                <w:lang w:val="ru-RU"/>
              </w:rPr>
              <w:t>Про жертви нацистських переслідувань</w:t>
            </w:r>
            <w:r w:rsidRPr="00CC28D9">
              <w:rPr>
                <w:bCs/>
                <w:color w:val="333333"/>
                <w:shd w:val="clear" w:color="auto" w:fill="FFFFFF"/>
                <w:lang w:val="uk-UA"/>
              </w:rPr>
              <w:t>»</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01981</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Видача дозволу опікуну на вчинення правочинів щодо передання нерухомого майна або майна, яке потребує постійного управління, власником якого є підопічна недієздатна особа, в управління іншій особі за договором</w:t>
            </w:r>
          </w:p>
        </w:tc>
        <w:tc>
          <w:tcPr>
            <w:tcW w:w="1920" w:type="pct"/>
          </w:tcPr>
          <w:p w:rsidR="00A679F8" w:rsidRDefault="00A679F8">
            <w:pPr>
              <w:pStyle w:val="rvps12"/>
              <w:spacing w:before="150" w:after="150"/>
              <w:rPr>
                <w:lang w:val="uk" w:eastAsia="uk"/>
              </w:rPr>
            </w:pPr>
            <w:r w:rsidRPr="00CC28D9">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00125</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укладення договорів, які підлягають нотаріальному посвідченню та (або) державній реєстрації, у тому числі договорів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00127</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управління нерухомим майном або майном, яке потребує постійного управління, власником якого є підопічна недієздатна особа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00123</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 xml:space="preserve">Видача дозволу опікуну на вчинення правочинів щодо відмови </w:t>
            </w:r>
            <w:r>
              <w:rPr>
                <w:lang w:val="uk" w:eastAsia="uk"/>
              </w:rPr>
              <w:lastRenderedPageBreak/>
              <w:t>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lastRenderedPageBreak/>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00126</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стосовно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00124</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дозволу опікуну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01980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щодо іншого цінного майна</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00131</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на надання згоди особі, дієздатність якої обмежена, на вчинення правочинів щодо укладення договорів, які підлягають нотаріальному посвідчення та (або) державній реєстрації, у тому числі щодо поділу або обміну житлового будинку, квартири</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00130</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видання письмових зобов’язань від імені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CC28D9">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rsidP="00CC28D9">
            <w:pPr>
              <w:pStyle w:val="rvps12"/>
              <w:spacing w:before="150" w:after="150"/>
              <w:rPr>
                <w:lang w:val="uk" w:eastAsia="uk"/>
              </w:rPr>
            </w:pPr>
            <w:r>
              <w:rPr>
                <w:lang w:val="uk" w:eastAsia="uk"/>
              </w:rPr>
              <w:t>00129</w:t>
            </w:r>
          </w:p>
        </w:tc>
        <w:tc>
          <w:tcPr>
            <w:tcW w:w="2305" w:type="pct"/>
            <w:tcMar>
              <w:top w:w="20" w:type="dxa"/>
              <w:left w:w="20" w:type="dxa"/>
              <w:bottom w:w="20" w:type="dxa"/>
              <w:right w:w="20" w:type="dxa"/>
            </w:tcMar>
            <w:hideMark/>
          </w:tcPr>
          <w:p w:rsidR="00A679F8" w:rsidRDefault="00A679F8" w:rsidP="00CC28D9">
            <w:pPr>
              <w:pStyle w:val="rvps14"/>
              <w:spacing w:before="150" w:after="150"/>
              <w:rPr>
                <w:lang w:val="uk" w:eastAsia="uk"/>
              </w:rPr>
            </w:pPr>
            <w:r>
              <w:rPr>
                <w:lang w:val="uk" w:eastAsia="uk"/>
              </w:rPr>
              <w:t>Видача піклувальнику дозволу для надання згоди особі, дієздатність якої обмежена, на вчинення правочинів щодо відмови від майнових прав підопічного</w:t>
            </w:r>
          </w:p>
        </w:tc>
        <w:tc>
          <w:tcPr>
            <w:tcW w:w="1920" w:type="pct"/>
          </w:tcPr>
          <w:p w:rsidR="00A679F8" w:rsidRDefault="00A679F8" w:rsidP="00CC28D9">
            <w:pPr>
              <w:pStyle w:val="rvps12"/>
              <w:spacing w:before="150" w:after="150"/>
              <w:rPr>
                <w:lang w:val="uk" w:eastAsia="uk"/>
              </w:rPr>
            </w:pPr>
            <w:r w:rsidRPr="00527D62">
              <w:rPr>
                <w:rFonts w:eastAsia="Calibri"/>
                <w:lang w:val="uk-UA"/>
              </w:rPr>
              <w:t>Цивільний кодекс України</w:t>
            </w:r>
          </w:p>
        </w:tc>
      </w:tr>
      <w:tr w:rsidR="00A679F8" w:rsidTr="00CF5320">
        <w:trPr>
          <w:jc w:val="center"/>
        </w:trPr>
        <w:tc>
          <w:tcPr>
            <w:tcW w:w="244" w:type="pct"/>
          </w:tcPr>
          <w:p w:rsidR="00A679F8" w:rsidRDefault="00A679F8" w:rsidP="00986D53">
            <w:pPr>
              <w:pStyle w:val="rvps12"/>
              <w:numPr>
                <w:ilvl w:val="0"/>
                <w:numId w:val="2"/>
              </w:numPr>
              <w:spacing w:before="150" w:after="150"/>
              <w:jc w:val="left"/>
              <w:rPr>
                <w:lang w:val="uk" w:eastAsia="uk"/>
              </w:rPr>
            </w:pPr>
          </w:p>
        </w:tc>
        <w:tc>
          <w:tcPr>
            <w:tcW w:w="531" w:type="pct"/>
            <w:tcMar>
              <w:top w:w="20" w:type="dxa"/>
              <w:left w:w="20" w:type="dxa"/>
              <w:bottom w:w="20" w:type="dxa"/>
              <w:right w:w="20" w:type="dxa"/>
            </w:tcMar>
            <w:hideMark/>
          </w:tcPr>
          <w:p w:rsidR="00A679F8" w:rsidRDefault="00A679F8">
            <w:pPr>
              <w:pStyle w:val="rvps12"/>
              <w:spacing w:before="150" w:after="150"/>
              <w:rPr>
                <w:lang w:val="uk" w:eastAsia="uk"/>
              </w:rPr>
            </w:pPr>
            <w:r>
              <w:rPr>
                <w:lang w:val="uk" w:eastAsia="uk"/>
              </w:rPr>
              <w:t>01747</w:t>
            </w:r>
          </w:p>
        </w:tc>
        <w:tc>
          <w:tcPr>
            <w:tcW w:w="2305" w:type="pct"/>
            <w:tcMar>
              <w:top w:w="20" w:type="dxa"/>
              <w:left w:w="20" w:type="dxa"/>
              <w:bottom w:w="20" w:type="dxa"/>
              <w:right w:w="20" w:type="dxa"/>
            </w:tcMar>
            <w:hideMark/>
          </w:tcPr>
          <w:p w:rsidR="00A679F8" w:rsidRDefault="00A679F8">
            <w:pPr>
              <w:pStyle w:val="rvps14"/>
              <w:spacing w:before="150" w:after="150"/>
              <w:rPr>
                <w:lang w:val="uk" w:eastAsia="uk"/>
              </w:rPr>
            </w:pPr>
            <w:r>
              <w:rPr>
                <w:lang w:val="uk" w:eastAsia="uk"/>
              </w:rPr>
              <w:t>Прийняття рішення про надання особам грошової допомоги постраждалим від надзвичайних ситуацій</w:t>
            </w:r>
          </w:p>
        </w:tc>
        <w:tc>
          <w:tcPr>
            <w:tcW w:w="1920" w:type="pct"/>
          </w:tcPr>
          <w:p w:rsidR="00A679F8" w:rsidRDefault="00A679F8">
            <w:pPr>
              <w:pStyle w:val="rvps12"/>
              <w:spacing w:before="150" w:after="150"/>
              <w:rPr>
                <w:lang w:val="uk" w:eastAsia="uk"/>
              </w:rPr>
            </w:pPr>
            <w:r>
              <w:rPr>
                <w:lang w:val="uk" w:eastAsia="uk"/>
              </w:rPr>
              <w:t>Кодекс цивільного захисту України</w:t>
            </w:r>
          </w:p>
        </w:tc>
      </w:tr>
    </w:tbl>
    <w:p w:rsidR="00425144" w:rsidRDefault="00425144">
      <w:pPr>
        <w:rPr>
          <w:vanish/>
        </w:rPr>
      </w:pPr>
    </w:p>
    <w:sectPr w:rsidR="00425144" w:rsidSect="00C02C62">
      <w:pgSz w:w="15840" w:h="12240" w:orient="landscape"/>
      <w:pgMar w:top="1417" w:right="850" w:bottom="850" w:left="850" w:header="720" w:footer="72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hybridMultilevel"/>
    <w:tmpl w:val="00000001"/>
    <w:lvl w:ilvl="0" w:tplc="B54EEF76">
      <w:start w:val="1"/>
      <w:numFmt w:val="bullet"/>
      <w:lvlText w:val=""/>
      <w:lvlJc w:val="left"/>
      <w:pPr>
        <w:ind w:left="720" w:hanging="360"/>
      </w:pPr>
      <w:rPr>
        <w:rFonts w:ascii="Symbol" w:hAnsi="Symbol"/>
      </w:rPr>
    </w:lvl>
    <w:lvl w:ilvl="1" w:tplc="3CE443B4">
      <w:start w:val="1"/>
      <w:numFmt w:val="bullet"/>
      <w:lvlText w:val="o"/>
      <w:lvlJc w:val="left"/>
      <w:pPr>
        <w:tabs>
          <w:tab w:val="num" w:pos="1440"/>
        </w:tabs>
        <w:ind w:left="1440" w:hanging="360"/>
      </w:pPr>
      <w:rPr>
        <w:rFonts w:ascii="Courier New" w:hAnsi="Courier New"/>
      </w:rPr>
    </w:lvl>
    <w:lvl w:ilvl="2" w:tplc="C14ACAEE">
      <w:start w:val="1"/>
      <w:numFmt w:val="bullet"/>
      <w:lvlText w:val=""/>
      <w:lvlJc w:val="left"/>
      <w:pPr>
        <w:tabs>
          <w:tab w:val="num" w:pos="2160"/>
        </w:tabs>
        <w:ind w:left="2160" w:hanging="360"/>
      </w:pPr>
      <w:rPr>
        <w:rFonts w:ascii="Wingdings" w:hAnsi="Wingdings"/>
      </w:rPr>
    </w:lvl>
    <w:lvl w:ilvl="3" w:tplc="B30A194E">
      <w:start w:val="1"/>
      <w:numFmt w:val="bullet"/>
      <w:lvlText w:val=""/>
      <w:lvlJc w:val="left"/>
      <w:pPr>
        <w:tabs>
          <w:tab w:val="num" w:pos="2880"/>
        </w:tabs>
        <w:ind w:left="2880" w:hanging="360"/>
      </w:pPr>
      <w:rPr>
        <w:rFonts w:ascii="Symbol" w:hAnsi="Symbol"/>
      </w:rPr>
    </w:lvl>
    <w:lvl w:ilvl="4" w:tplc="4838DAC4">
      <w:start w:val="1"/>
      <w:numFmt w:val="bullet"/>
      <w:lvlText w:val="o"/>
      <w:lvlJc w:val="left"/>
      <w:pPr>
        <w:tabs>
          <w:tab w:val="num" w:pos="3600"/>
        </w:tabs>
        <w:ind w:left="3600" w:hanging="360"/>
      </w:pPr>
      <w:rPr>
        <w:rFonts w:ascii="Courier New" w:hAnsi="Courier New"/>
      </w:rPr>
    </w:lvl>
    <w:lvl w:ilvl="5" w:tplc="2F8A305C">
      <w:start w:val="1"/>
      <w:numFmt w:val="bullet"/>
      <w:lvlText w:val=""/>
      <w:lvlJc w:val="left"/>
      <w:pPr>
        <w:tabs>
          <w:tab w:val="num" w:pos="4320"/>
        </w:tabs>
        <w:ind w:left="4320" w:hanging="360"/>
      </w:pPr>
      <w:rPr>
        <w:rFonts w:ascii="Wingdings" w:hAnsi="Wingdings"/>
      </w:rPr>
    </w:lvl>
    <w:lvl w:ilvl="6" w:tplc="80B29C34">
      <w:start w:val="1"/>
      <w:numFmt w:val="bullet"/>
      <w:lvlText w:val=""/>
      <w:lvlJc w:val="left"/>
      <w:pPr>
        <w:tabs>
          <w:tab w:val="num" w:pos="5040"/>
        </w:tabs>
        <w:ind w:left="5040" w:hanging="360"/>
      </w:pPr>
      <w:rPr>
        <w:rFonts w:ascii="Symbol" w:hAnsi="Symbol"/>
      </w:rPr>
    </w:lvl>
    <w:lvl w:ilvl="7" w:tplc="09AA2F34">
      <w:start w:val="1"/>
      <w:numFmt w:val="bullet"/>
      <w:lvlText w:val="o"/>
      <w:lvlJc w:val="left"/>
      <w:pPr>
        <w:tabs>
          <w:tab w:val="num" w:pos="5760"/>
        </w:tabs>
        <w:ind w:left="5760" w:hanging="360"/>
      </w:pPr>
      <w:rPr>
        <w:rFonts w:ascii="Courier New" w:hAnsi="Courier New"/>
      </w:rPr>
    </w:lvl>
    <w:lvl w:ilvl="8" w:tplc="5A7CBA0E">
      <w:start w:val="1"/>
      <w:numFmt w:val="bullet"/>
      <w:lvlText w:val=""/>
      <w:lvlJc w:val="left"/>
      <w:pPr>
        <w:tabs>
          <w:tab w:val="num" w:pos="6480"/>
        </w:tabs>
        <w:ind w:left="6480" w:hanging="360"/>
      </w:pPr>
      <w:rPr>
        <w:rFonts w:ascii="Wingdings" w:hAnsi="Wingdings"/>
      </w:rPr>
    </w:lvl>
  </w:abstractNum>
  <w:abstractNum w:abstractNumId="1">
    <w:nsid w:val="68B1176D"/>
    <w:multiLevelType w:val="hybridMultilevel"/>
    <w:tmpl w:val="ACBAD604"/>
    <w:lvl w:ilvl="0" w:tplc="0422000F">
      <w:start w:val="1"/>
      <w:numFmt w:val="decimal"/>
      <w:lvlText w:val="%1."/>
      <w:lvlJc w:val="left"/>
      <w:pPr>
        <w:ind w:left="501" w:hanging="360"/>
      </w:pPr>
    </w:lvl>
    <w:lvl w:ilvl="1" w:tplc="04220019" w:tentative="1">
      <w:start w:val="1"/>
      <w:numFmt w:val="lowerLetter"/>
      <w:lvlText w:val="%2."/>
      <w:lvlJc w:val="left"/>
      <w:pPr>
        <w:ind w:left="1723" w:hanging="360"/>
      </w:pPr>
    </w:lvl>
    <w:lvl w:ilvl="2" w:tplc="0422001B" w:tentative="1">
      <w:start w:val="1"/>
      <w:numFmt w:val="lowerRoman"/>
      <w:lvlText w:val="%3."/>
      <w:lvlJc w:val="right"/>
      <w:pPr>
        <w:ind w:left="2443" w:hanging="180"/>
      </w:pPr>
    </w:lvl>
    <w:lvl w:ilvl="3" w:tplc="0422000F" w:tentative="1">
      <w:start w:val="1"/>
      <w:numFmt w:val="decimal"/>
      <w:lvlText w:val="%4."/>
      <w:lvlJc w:val="left"/>
      <w:pPr>
        <w:ind w:left="3163" w:hanging="360"/>
      </w:pPr>
    </w:lvl>
    <w:lvl w:ilvl="4" w:tplc="04220019" w:tentative="1">
      <w:start w:val="1"/>
      <w:numFmt w:val="lowerLetter"/>
      <w:lvlText w:val="%5."/>
      <w:lvlJc w:val="left"/>
      <w:pPr>
        <w:ind w:left="3883" w:hanging="360"/>
      </w:pPr>
    </w:lvl>
    <w:lvl w:ilvl="5" w:tplc="0422001B" w:tentative="1">
      <w:start w:val="1"/>
      <w:numFmt w:val="lowerRoman"/>
      <w:lvlText w:val="%6."/>
      <w:lvlJc w:val="right"/>
      <w:pPr>
        <w:ind w:left="4603" w:hanging="180"/>
      </w:pPr>
    </w:lvl>
    <w:lvl w:ilvl="6" w:tplc="0422000F" w:tentative="1">
      <w:start w:val="1"/>
      <w:numFmt w:val="decimal"/>
      <w:lvlText w:val="%7."/>
      <w:lvlJc w:val="left"/>
      <w:pPr>
        <w:ind w:left="5323" w:hanging="360"/>
      </w:pPr>
    </w:lvl>
    <w:lvl w:ilvl="7" w:tplc="04220019" w:tentative="1">
      <w:start w:val="1"/>
      <w:numFmt w:val="lowerLetter"/>
      <w:lvlText w:val="%8."/>
      <w:lvlJc w:val="left"/>
      <w:pPr>
        <w:ind w:left="6043" w:hanging="360"/>
      </w:pPr>
    </w:lvl>
    <w:lvl w:ilvl="8" w:tplc="0422001B" w:tentative="1">
      <w:start w:val="1"/>
      <w:numFmt w:val="lowerRoman"/>
      <w:lvlText w:val="%9."/>
      <w:lvlJc w:val="right"/>
      <w:pPr>
        <w:ind w:left="6763"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425"/>
  <w:noPunctuationKerning/>
  <w:characterSpacingControl w:val="doNotCompress"/>
  <w:compat>
    <w:doNotExpandShiftReturn/>
    <w:compatSetting w:name="compatibilityMode" w:uri="http://schemas.microsoft.com/office/word" w:val="12"/>
  </w:compat>
  <w:rsids>
    <w:rsidRoot w:val="00425144"/>
    <w:rsid w:val="00103EF1"/>
    <w:rsid w:val="00122D9C"/>
    <w:rsid w:val="001B111C"/>
    <w:rsid w:val="00206BC7"/>
    <w:rsid w:val="002339E8"/>
    <w:rsid w:val="0041186A"/>
    <w:rsid w:val="00425144"/>
    <w:rsid w:val="005302FC"/>
    <w:rsid w:val="005D109F"/>
    <w:rsid w:val="006015A5"/>
    <w:rsid w:val="006A71A9"/>
    <w:rsid w:val="006D4AEF"/>
    <w:rsid w:val="006D706D"/>
    <w:rsid w:val="007C7B52"/>
    <w:rsid w:val="008D67D3"/>
    <w:rsid w:val="008D68EE"/>
    <w:rsid w:val="008E13CD"/>
    <w:rsid w:val="008E52E2"/>
    <w:rsid w:val="00986D53"/>
    <w:rsid w:val="009B01F8"/>
    <w:rsid w:val="009F27E1"/>
    <w:rsid w:val="00A660B0"/>
    <w:rsid w:val="00A679F8"/>
    <w:rsid w:val="00B34667"/>
    <w:rsid w:val="00B53741"/>
    <w:rsid w:val="00BE5713"/>
    <w:rsid w:val="00BF07F4"/>
    <w:rsid w:val="00C02C62"/>
    <w:rsid w:val="00C41558"/>
    <w:rsid w:val="00C428D8"/>
    <w:rsid w:val="00CC28D9"/>
    <w:rsid w:val="00CF5320"/>
    <w:rsid w:val="00D22200"/>
    <w:rsid w:val="00D440B7"/>
    <w:rsid w:val="00D702FC"/>
    <w:rsid w:val="00DB6A0C"/>
    <w:rsid w:val="00DD5EAB"/>
    <w:rsid w:val="00DF6D4E"/>
    <w:rsid w:val="00ED4DA4"/>
    <w:rsid w:val="00EF3266"/>
    <w:rsid w:val="00F47570"/>
    <w:rsid w:val="00F875AB"/>
    <w:rsid w:val="00F94961"/>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5BCE"/>
    <w:rPr>
      <w:sz w:val="24"/>
      <w:szCs w:val="24"/>
    </w:rPr>
  </w:style>
  <w:style w:type="paragraph" w:styleId="1">
    <w:name w:val="heading 1"/>
    <w:basedOn w:val="a"/>
    <w:next w:val="a"/>
    <w:link w:val="10"/>
    <w:uiPriority w:val="9"/>
    <w:qFormat/>
    <w:rsid w:val="00506D7A"/>
    <w:pPr>
      <w:keepNext/>
      <w:keepLines/>
      <w:spacing w:before="240"/>
      <w:outlineLvl w:val="0"/>
    </w:pPr>
    <w:rPr>
      <w:b/>
      <w:bCs/>
      <w:color w:val="2F5496"/>
      <w:kern w:val="36"/>
      <w:sz w:val="48"/>
      <w:szCs w:val="48"/>
    </w:rPr>
  </w:style>
  <w:style w:type="paragraph" w:styleId="2">
    <w:name w:val="heading 2"/>
    <w:basedOn w:val="a"/>
    <w:next w:val="a"/>
    <w:link w:val="20"/>
    <w:uiPriority w:val="9"/>
    <w:qFormat/>
    <w:rsid w:val="00506D7A"/>
    <w:pPr>
      <w:keepNext/>
      <w:keepLines/>
      <w:spacing w:before="40"/>
      <w:outlineLvl w:val="1"/>
    </w:pPr>
    <w:rPr>
      <w:b/>
      <w:bCs/>
      <w:color w:val="2F5496"/>
      <w:sz w:val="36"/>
      <w:szCs w:val="36"/>
    </w:rPr>
  </w:style>
  <w:style w:type="paragraph" w:styleId="3">
    <w:name w:val="heading 3"/>
    <w:basedOn w:val="a"/>
    <w:next w:val="a"/>
    <w:link w:val="30"/>
    <w:uiPriority w:val="9"/>
    <w:qFormat/>
    <w:rsid w:val="00506D7A"/>
    <w:pPr>
      <w:keepNext/>
      <w:keepLines/>
      <w:spacing w:before="40"/>
      <w:outlineLvl w:val="2"/>
    </w:pPr>
    <w:rPr>
      <w:b/>
      <w:bCs/>
      <w:color w:val="1F3763"/>
      <w:sz w:val="28"/>
      <w:szCs w:val="28"/>
    </w:rPr>
  </w:style>
  <w:style w:type="paragraph" w:styleId="4">
    <w:name w:val="heading 4"/>
    <w:basedOn w:val="a"/>
    <w:next w:val="a"/>
    <w:link w:val="40"/>
    <w:uiPriority w:val="9"/>
    <w:qFormat/>
    <w:rsid w:val="00506D7A"/>
    <w:pPr>
      <w:keepNext/>
      <w:keepLines/>
      <w:spacing w:before="40"/>
      <w:outlineLvl w:val="3"/>
    </w:pPr>
    <w:rPr>
      <w:b/>
      <w:bCs/>
      <w:iCs/>
      <w:color w:val="2F5496"/>
    </w:rPr>
  </w:style>
  <w:style w:type="paragraph" w:styleId="5">
    <w:name w:val="heading 5"/>
    <w:basedOn w:val="a"/>
    <w:next w:val="a"/>
    <w:link w:val="50"/>
    <w:uiPriority w:val="9"/>
    <w:qFormat/>
    <w:rsid w:val="00506D7A"/>
    <w:pPr>
      <w:keepNext/>
      <w:keepLines/>
      <w:spacing w:before="40"/>
      <w:outlineLvl w:val="4"/>
    </w:pPr>
    <w:rPr>
      <w:b/>
      <w:bCs/>
      <w:color w:val="2F5496"/>
      <w:sz w:val="20"/>
      <w:szCs w:val="20"/>
    </w:rPr>
  </w:style>
  <w:style w:type="paragraph" w:styleId="6">
    <w:name w:val="heading 6"/>
    <w:basedOn w:val="a"/>
    <w:next w:val="a"/>
    <w:link w:val="60"/>
    <w:uiPriority w:val="9"/>
    <w:qFormat/>
    <w:rsid w:val="00506D7A"/>
    <w:pPr>
      <w:keepNext/>
      <w:keepLines/>
      <w:spacing w:before="40"/>
      <w:outlineLvl w:val="5"/>
    </w:pPr>
    <w:rPr>
      <w:b/>
      <w:bCs/>
      <w:color w:val="1F3763"/>
      <w:sz w:val="16"/>
      <w:szCs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506D7A"/>
    <w:rPr>
      <w:rFonts w:ascii="Calibri Light" w:eastAsia="Times New Roman" w:hAnsi="Calibri Light" w:cs="Times New Roman"/>
      <w:color w:val="2F5496"/>
      <w:sz w:val="32"/>
      <w:szCs w:val="32"/>
    </w:rPr>
  </w:style>
  <w:style w:type="character" w:customStyle="1" w:styleId="20">
    <w:name w:val="Заголовок 2 Знак"/>
    <w:basedOn w:val="a0"/>
    <w:link w:val="2"/>
    <w:uiPriority w:val="9"/>
    <w:rsid w:val="00506D7A"/>
    <w:rPr>
      <w:rFonts w:ascii="Calibri Light" w:eastAsia="Times New Roman" w:hAnsi="Calibri Light" w:cs="Times New Roman"/>
      <w:color w:val="2F5496"/>
      <w:sz w:val="26"/>
      <w:szCs w:val="26"/>
    </w:rPr>
  </w:style>
  <w:style w:type="character" w:customStyle="1" w:styleId="30">
    <w:name w:val="Заголовок 3 Знак"/>
    <w:basedOn w:val="a0"/>
    <w:link w:val="3"/>
    <w:uiPriority w:val="9"/>
    <w:rsid w:val="00506D7A"/>
    <w:rPr>
      <w:rFonts w:ascii="Calibri Light" w:eastAsia="Times New Roman" w:hAnsi="Calibri Light" w:cs="Times New Roman"/>
      <w:color w:val="1F3763"/>
      <w:sz w:val="24"/>
      <w:szCs w:val="24"/>
    </w:rPr>
  </w:style>
  <w:style w:type="character" w:customStyle="1" w:styleId="40">
    <w:name w:val="Заголовок 4 Знак"/>
    <w:basedOn w:val="a0"/>
    <w:link w:val="4"/>
    <w:uiPriority w:val="9"/>
    <w:rsid w:val="00506D7A"/>
    <w:rPr>
      <w:rFonts w:ascii="Calibri Light" w:eastAsia="Times New Roman" w:hAnsi="Calibri Light" w:cs="Times New Roman"/>
      <w:i/>
      <w:iCs/>
      <w:color w:val="2F5496"/>
    </w:rPr>
  </w:style>
  <w:style w:type="character" w:customStyle="1" w:styleId="50">
    <w:name w:val="Заголовок 5 Знак"/>
    <w:basedOn w:val="a0"/>
    <w:link w:val="5"/>
    <w:uiPriority w:val="9"/>
    <w:rsid w:val="00506D7A"/>
    <w:rPr>
      <w:rFonts w:ascii="Calibri Light" w:eastAsia="Times New Roman" w:hAnsi="Calibri Light" w:cs="Times New Roman"/>
      <w:color w:val="2F5496"/>
    </w:rPr>
  </w:style>
  <w:style w:type="character" w:customStyle="1" w:styleId="60">
    <w:name w:val="Заголовок 6 Знак"/>
    <w:basedOn w:val="a0"/>
    <w:link w:val="6"/>
    <w:uiPriority w:val="9"/>
    <w:rsid w:val="00506D7A"/>
    <w:rPr>
      <w:rFonts w:ascii="Calibri Light" w:eastAsia="Times New Roman" w:hAnsi="Calibri Light" w:cs="Times New Roman"/>
      <w:color w:val="1F3763"/>
    </w:rPr>
  </w:style>
  <w:style w:type="paragraph" w:customStyle="1" w:styleId="rvps8">
    <w:name w:val="rvps8"/>
    <w:basedOn w:val="a"/>
    <w:pPr>
      <w:jc w:val="both"/>
    </w:pPr>
  </w:style>
  <w:style w:type="paragraph" w:customStyle="1" w:styleId="rvps7">
    <w:name w:val="rvps7"/>
    <w:basedOn w:val="a"/>
    <w:pPr>
      <w:jc w:val="center"/>
    </w:pPr>
  </w:style>
  <w:style w:type="paragraph" w:customStyle="1" w:styleId="rvps17">
    <w:name w:val="rvps17"/>
    <w:basedOn w:val="a"/>
    <w:pPr>
      <w:spacing w:line="360" w:lineRule="atLeast"/>
      <w:jc w:val="center"/>
    </w:pPr>
  </w:style>
  <w:style w:type="character" w:customStyle="1" w:styleId="spanrvts23">
    <w:name w:val="span_rvts23"/>
    <w:basedOn w:val="a0"/>
    <w:rPr>
      <w:rFonts w:ascii="Times New Roman" w:eastAsia="Times New Roman" w:hAnsi="Times New Roman" w:cs="Times New Roman"/>
      <w:b/>
      <w:bCs/>
      <w:i w:val="0"/>
      <w:iCs w:val="0"/>
      <w:sz w:val="32"/>
      <w:szCs w:val="32"/>
    </w:rPr>
  </w:style>
  <w:style w:type="character" w:customStyle="1" w:styleId="spanrvts64">
    <w:name w:val="span_rvts64"/>
    <w:basedOn w:val="a0"/>
    <w:rPr>
      <w:rFonts w:ascii="Times New Roman" w:eastAsia="Times New Roman" w:hAnsi="Times New Roman" w:cs="Times New Roman"/>
      <w:b/>
      <w:bCs/>
      <w:i w:val="0"/>
      <w:iCs w:val="0"/>
      <w:sz w:val="36"/>
      <w:szCs w:val="36"/>
    </w:rPr>
  </w:style>
  <w:style w:type="character" w:customStyle="1" w:styleId="spanrvts9">
    <w:name w:val="span_rvts9"/>
    <w:basedOn w:val="a0"/>
    <w:rPr>
      <w:rFonts w:ascii="Times New Roman" w:eastAsia="Times New Roman" w:hAnsi="Times New Roman" w:cs="Times New Roman"/>
      <w:b/>
      <w:bCs/>
      <w:i w:val="0"/>
      <w:iCs w:val="0"/>
      <w:sz w:val="24"/>
      <w:szCs w:val="24"/>
    </w:rPr>
  </w:style>
  <w:style w:type="table" w:customStyle="1" w:styleId="articletable">
    <w:name w:val="article_table"/>
    <w:basedOn w:val="a1"/>
    <w:tblPr>
      <w:tblInd w:w="0" w:type="dxa"/>
      <w:tblCellMar>
        <w:top w:w="0" w:type="dxa"/>
        <w:left w:w="108" w:type="dxa"/>
        <w:bottom w:w="0" w:type="dxa"/>
        <w:right w:w="108" w:type="dxa"/>
      </w:tblCellMar>
    </w:tblPr>
  </w:style>
  <w:style w:type="paragraph" w:customStyle="1" w:styleId="rvps6">
    <w:name w:val="rvps6"/>
    <w:basedOn w:val="a"/>
    <w:pPr>
      <w:jc w:val="center"/>
    </w:pPr>
  </w:style>
  <w:style w:type="paragraph" w:customStyle="1" w:styleId="rvps2">
    <w:name w:val="rvps2"/>
    <w:basedOn w:val="a"/>
    <w:pPr>
      <w:ind w:firstLine="450"/>
      <w:jc w:val="both"/>
    </w:pPr>
  </w:style>
  <w:style w:type="character" w:customStyle="1" w:styleId="arvts96">
    <w:name w:val="a_rvts96"/>
    <w:basedOn w:val="a0"/>
    <w:rPr>
      <w:rFonts w:ascii="Times New Roman" w:eastAsia="Times New Roman" w:hAnsi="Times New Roman" w:cs="Times New Roman"/>
      <w:b w:val="0"/>
      <w:bCs w:val="0"/>
      <w:i w:val="0"/>
      <w:iCs w:val="0"/>
      <w:color w:val="000099"/>
      <w:sz w:val="24"/>
      <w:szCs w:val="24"/>
    </w:rPr>
  </w:style>
  <w:style w:type="character" w:customStyle="1" w:styleId="spanrvts52">
    <w:name w:val="span_rvts52"/>
    <w:basedOn w:val="a0"/>
    <w:rPr>
      <w:rFonts w:ascii="Times New Roman" w:eastAsia="Times New Roman" w:hAnsi="Times New Roman" w:cs="Times New Roman"/>
      <w:b/>
      <w:bCs/>
      <w:i w:val="0"/>
      <w:iCs w:val="0"/>
      <w:spacing w:val="30"/>
      <w:sz w:val="24"/>
      <w:szCs w:val="24"/>
    </w:rPr>
  </w:style>
  <w:style w:type="character" w:customStyle="1" w:styleId="arvts99">
    <w:name w:val="a_rvts99"/>
    <w:basedOn w:val="a0"/>
    <w:rPr>
      <w:rFonts w:ascii="Times New Roman" w:eastAsia="Times New Roman" w:hAnsi="Times New Roman" w:cs="Times New Roman"/>
      <w:b w:val="0"/>
      <w:bCs w:val="0"/>
      <w:i w:val="0"/>
      <w:iCs w:val="0"/>
      <w:color w:val="006600"/>
      <w:sz w:val="24"/>
      <w:szCs w:val="24"/>
    </w:rPr>
  </w:style>
  <w:style w:type="character" w:customStyle="1" w:styleId="spanrvts37">
    <w:name w:val="span_rvts37"/>
    <w:basedOn w:val="a0"/>
    <w:rPr>
      <w:rFonts w:ascii="Times New Roman" w:eastAsia="Times New Roman" w:hAnsi="Times New Roman" w:cs="Times New Roman"/>
      <w:b/>
      <w:bCs/>
      <w:i w:val="0"/>
      <w:iCs w:val="0"/>
      <w:sz w:val="24"/>
      <w:szCs w:val="24"/>
      <w:vertAlign w:val="superscript"/>
    </w:rPr>
  </w:style>
  <w:style w:type="paragraph" w:customStyle="1" w:styleId="rvps4">
    <w:name w:val="rvps4"/>
    <w:basedOn w:val="a"/>
    <w:pPr>
      <w:jc w:val="center"/>
    </w:pPr>
  </w:style>
  <w:style w:type="character" w:customStyle="1" w:styleId="spanrvts44">
    <w:name w:val="span_rvts44"/>
    <w:basedOn w:val="a0"/>
    <w:rPr>
      <w:rFonts w:ascii="Times New Roman" w:eastAsia="Times New Roman" w:hAnsi="Times New Roman" w:cs="Times New Roman"/>
      <w:b/>
      <w:bCs/>
      <w:i w:val="0"/>
      <w:iCs w:val="0"/>
      <w:sz w:val="24"/>
      <w:szCs w:val="24"/>
    </w:rPr>
  </w:style>
  <w:style w:type="paragraph" w:customStyle="1" w:styleId="rvps15">
    <w:name w:val="rvps15"/>
    <w:basedOn w:val="a"/>
    <w:pPr>
      <w:jc w:val="right"/>
    </w:pPr>
  </w:style>
  <w:style w:type="paragraph" w:customStyle="1" w:styleId="break">
    <w:name w:val="break"/>
    <w:basedOn w:val="a"/>
    <w:pPr>
      <w:pageBreakBefore/>
    </w:pPr>
  </w:style>
  <w:style w:type="paragraph" w:customStyle="1" w:styleId="rvps14">
    <w:name w:val="rvps14"/>
    <w:basedOn w:val="a"/>
  </w:style>
  <w:style w:type="paragraph" w:customStyle="1" w:styleId="rvps12">
    <w:name w:val="rvps12"/>
    <w:basedOn w:val="a"/>
    <w:pPr>
      <w:jc w:val="center"/>
    </w:pPr>
  </w:style>
  <w:style w:type="character" w:customStyle="1" w:styleId="spanrvts82">
    <w:name w:val="span_rvts82"/>
    <w:basedOn w:val="a0"/>
    <w:rPr>
      <w:rFonts w:ascii="Times New Roman" w:eastAsia="Times New Roman" w:hAnsi="Times New Roman" w:cs="Times New Roman"/>
      <w:b w:val="0"/>
      <w:bCs w:val="0"/>
      <w:i w:val="0"/>
      <w:iCs w:val="0"/>
      <w:sz w:val="20"/>
      <w:szCs w:val="20"/>
    </w:rPr>
  </w:style>
  <w:style w:type="character" w:customStyle="1" w:styleId="arvts106">
    <w:name w:val="a_rvts106"/>
    <w:basedOn w:val="a0"/>
    <w:rPr>
      <w:rFonts w:ascii="Times New Roman" w:eastAsia="Times New Roman" w:hAnsi="Times New Roman" w:cs="Times New Roman"/>
      <w:b w:val="0"/>
      <w:bCs w:val="0"/>
      <w:i w:val="0"/>
      <w:iCs w:val="0"/>
      <w:color w:val="000099"/>
      <w:sz w:val="20"/>
      <w:szCs w:val="20"/>
    </w:rPr>
  </w:style>
  <w:style w:type="paragraph" w:customStyle="1" w:styleId="stamp">
    <w:name w:val="stamp"/>
    <w:basedOn w:val="a"/>
  </w:style>
  <w:style w:type="character" w:customStyle="1" w:styleId="rvts9">
    <w:name w:val="rvts9"/>
    <w:basedOn w:val="a0"/>
    <w:rsid w:val="00F875AB"/>
  </w:style>
  <w:style w:type="character" w:styleId="a3">
    <w:name w:val="Hyperlink"/>
    <w:basedOn w:val="a0"/>
    <w:uiPriority w:val="99"/>
    <w:semiHidden/>
    <w:unhideWhenUsed/>
    <w:rsid w:val="00F875AB"/>
    <w:rPr>
      <w:color w:val="0000FF"/>
      <w:u w:val="single"/>
    </w:rPr>
  </w:style>
  <w:style w:type="character" w:customStyle="1" w:styleId="rvts23">
    <w:name w:val="rvts23"/>
    <w:basedOn w:val="a0"/>
    <w:rsid w:val="00F875A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7462541">
      <w:bodyDiv w:val="1"/>
      <w:marLeft w:val="0"/>
      <w:marRight w:val="0"/>
      <w:marTop w:val="0"/>
      <w:marBottom w:val="0"/>
      <w:divBdr>
        <w:top w:val="none" w:sz="0" w:space="0" w:color="auto"/>
        <w:left w:val="none" w:sz="0" w:space="0" w:color="auto"/>
        <w:bottom w:val="none" w:sz="0" w:space="0" w:color="auto"/>
        <w:right w:val="none" w:sz="0" w:space="0" w:color="auto"/>
      </w:divBdr>
      <w:divsChild>
        <w:div w:id="1537155148">
          <w:marLeft w:val="0"/>
          <w:marRight w:val="0"/>
          <w:marTop w:val="0"/>
          <w:marBottom w:val="150"/>
          <w:divBdr>
            <w:top w:val="none" w:sz="0" w:space="0" w:color="auto"/>
            <w:left w:val="none" w:sz="0" w:space="0" w:color="auto"/>
            <w:bottom w:val="none" w:sz="0" w:space="0" w:color="auto"/>
            <w:right w:val="none" w:sz="0" w:space="0" w:color="auto"/>
          </w:divBdr>
        </w:div>
      </w:divsChild>
    </w:div>
    <w:div w:id="579102607">
      <w:bodyDiv w:val="1"/>
      <w:marLeft w:val="0"/>
      <w:marRight w:val="0"/>
      <w:marTop w:val="0"/>
      <w:marBottom w:val="0"/>
      <w:divBdr>
        <w:top w:val="none" w:sz="0" w:space="0" w:color="auto"/>
        <w:left w:val="none" w:sz="0" w:space="0" w:color="auto"/>
        <w:bottom w:val="none" w:sz="0" w:space="0" w:color="auto"/>
        <w:right w:val="none" w:sz="0" w:space="0" w:color="auto"/>
      </w:divBdr>
      <w:divsChild>
        <w:div w:id="1089623719">
          <w:marLeft w:val="0"/>
          <w:marRight w:val="0"/>
          <w:marTop w:val="0"/>
          <w:marBottom w:val="150"/>
          <w:divBdr>
            <w:top w:val="none" w:sz="0" w:space="0" w:color="auto"/>
            <w:left w:val="none" w:sz="0" w:space="0" w:color="auto"/>
            <w:bottom w:val="none" w:sz="0" w:space="0" w:color="auto"/>
            <w:right w:val="none" w:sz="0" w:space="0" w:color="auto"/>
          </w:divBdr>
        </w:div>
      </w:divsChild>
    </w:div>
    <w:div w:id="82026678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3551-12" TargetMode="External"/><Relationship Id="rId13" Type="http://schemas.openxmlformats.org/officeDocument/2006/relationships/hyperlink" Target="https://zakon.rada.gov.ua/laws/show/2642-19" TargetMode="External"/><Relationship Id="rId18" Type="http://schemas.openxmlformats.org/officeDocument/2006/relationships/hyperlink" Target="https://zakon.rada.gov.ua/laws/show/2145-19" TargetMode="External"/><Relationship Id="rId26" Type="http://schemas.openxmlformats.org/officeDocument/2006/relationships/hyperlink" Target="https://zakon.rada.gov.ua/laws/show/3551-12" TargetMode="External"/><Relationship Id="rId3" Type="http://schemas.openxmlformats.org/officeDocument/2006/relationships/styles" Target="styles.xml"/><Relationship Id="rId21" Type="http://schemas.openxmlformats.org/officeDocument/2006/relationships/hyperlink" Target="https://zakon.rada.gov.ua/laws/show/1584-14" TargetMode="External"/><Relationship Id="rId7" Type="http://schemas.openxmlformats.org/officeDocument/2006/relationships/hyperlink" Target="https://zakon.rada.gov.ua/laws/show/2114-20" TargetMode="External"/><Relationship Id="rId12" Type="http://schemas.openxmlformats.org/officeDocument/2006/relationships/hyperlink" Target="https://zakon.rada.gov.ua/laws/show/2961-15" TargetMode="External"/><Relationship Id="rId17" Type="http://schemas.openxmlformats.org/officeDocument/2006/relationships/hyperlink" Target="https://zakon.rada.gov.ua/laws/show/3721-12" TargetMode="External"/><Relationship Id="rId25" Type="http://schemas.openxmlformats.org/officeDocument/2006/relationships/hyperlink" Target="https://zakon.rada.gov.ua/laws/show/2010-20" TargetMode="External"/><Relationship Id="rId2" Type="http://schemas.openxmlformats.org/officeDocument/2006/relationships/numbering" Target="numbering.xml"/><Relationship Id="rId16" Type="http://schemas.openxmlformats.org/officeDocument/2006/relationships/hyperlink" Target="https://zakon.rada.gov.ua/laws/show/3551-12" TargetMode="External"/><Relationship Id="rId20" Type="http://schemas.openxmlformats.org/officeDocument/2006/relationships/hyperlink" Target="https://zakon.rada.gov.ua/laws/show/180-14"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zakon.rada.gov.ua/laws/show/2961-15" TargetMode="External"/><Relationship Id="rId24" Type="http://schemas.openxmlformats.org/officeDocument/2006/relationships/hyperlink" Target="https://zakon.rada.gov.ua/laws/show/2778-17" TargetMode="External"/><Relationship Id="rId5" Type="http://schemas.openxmlformats.org/officeDocument/2006/relationships/settings" Target="settings.xml"/><Relationship Id="rId15" Type="http://schemas.openxmlformats.org/officeDocument/2006/relationships/hyperlink" Target="https://zakon.rada.gov.ua/laws/show/796-12" TargetMode="External"/><Relationship Id="rId23" Type="http://schemas.openxmlformats.org/officeDocument/2006/relationships/hyperlink" Target="https://zakon.rada.gov.ua/laws/show/2195-15" TargetMode="External"/><Relationship Id="rId28" Type="http://schemas.openxmlformats.org/officeDocument/2006/relationships/fontTable" Target="fontTable.xml"/><Relationship Id="rId10" Type="http://schemas.openxmlformats.org/officeDocument/2006/relationships/hyperlink" Target="https://zakon.rada.gov.ua/laws/show/1584-14" TargetMode="External"/><Relationship Id="rId19" Type="http://schemas.openxmlformats.org/officeDocument/2006/relationships/hyperlink" Target="https://zakon.rada.gov.ua/laws/show/32/95-%D0%B2%D1%80" TargetMode="External"/><Relationship Id="rId4" Type="http://schemas.microsoft.com/office/2007/relationships/stylesWithEffects" Target="stylesWithEffects.xml"/><Relationship Id="rId9" Type="http://schemas.openxmlformats.org/officeDocument/2006/relationships/hyperlink" Target="https://zakon.rada.gov.ua/laws/show/3551-12" TargetMode="External"/><Relationship Id="rId14" Type="http://schemas.openxmlformats.org/officeDocument/2006/relationships/hyperlink" Target="https://zakon.rada.gov.ua/laws/show/2642-19" TargetMode="External"/><Relationship Id="rId22" Type="http://schemas.openxmlformats.org/officeDocument/2006/relationships/hyperlink" Target="https://zakon.rada.gov.ua/laws/show/2402-14" TargetMode="External"/><Relationship Id="rId27" Type="http://schemas.openxmlformats.org/officeDocument/2006/relationships/hyperlink" Target="https://zakon.rada.gov.ua/laws/show/1584-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7C3F-49A0-49D0-BB74-C99FF6A667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259</TotalTime>
  <Pages>1</Pages>
  <Words>5119</Words>
  <Characters>29182</Characters>
  <Application>Microsoft Office Word</Application>
  <DocSecurity>0</DocSecurity>
  <Lines>243</Lines>
  <Paragraphs>68</Paragraphs>
  <ScaleCrop>false</ScaleCrop>
  <HeadingPairs>
    <vt:vector size="2" baseType="variant">
      <vt:variant>
        <vt:lpstr>Назва</vt:lpstr>
      </vt:variant>
      <vt:variant>
        <vt:i4>1</vt:i4>
      </vt:variant>
    </vt:vector>
  </HeadingPairs>
  <TitlesOfParts>
    <vt:vector size="1" baseType="lpstr">
      <vt:lpstr>Деякі питання надання адміністративних послуг через центри надання адміністративних послуг | від 01.10.2025 № 1226</vt:lpstr>
    </vt:vector>
  </TitlesOfParts>
  <Company/>
  <LinksUpToDate>false</LinksUpToDate>
  <CharactersWithSpaces>34233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Деякі питання надання адміністративних послуг через центри надання адміністративних послуг | від 01.10.2025 № 1226</dc:title>
  <cp:lastModifiedBy>User</cp:lastModifiedBy>
  <cp:revision>28</cp:revision>
  <dcterms:created xsi:type="dcterms:W3CDTF">2025-11-05T07:32:00Z</dcterms:created>
  <dcterms:modified xsi:type="dcterms:W3CDTF">2025-12-09T09:59:00Z</dcterms:modified>
</cp:coreProperties>
</file>