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05" w:rsidRDefault="00C64527">
      <w:pPr>
        <w:pStyle w:val="10"/>
        <w:keepNext/>
        <w:keepLines/>
      </w:pPr>
      <w:bookmarkStart w:id="0" w:name="bookmark0"/>
      <w:bookmarkStart w:id="1" w:name="bookmark1"/>
      <w:bookmarkStart w:id="2" w:name="bookmark2"/>
      <w:r>
        <w:t>Середньостроковий план</w:t>
      </w:r>
      <w:r>
        <w:br/>
        <w:t xml:space="preserve">пріоритетних публічних інвестицій </w:t>
      </w:r>
      <w:proofErr w:type="spellStart"/>
      <w:r>
        <w:t>Піщанської</w:t>
      </w:r>
      <w:proofErr w:type="spellEnd"/>
      <w:r>
        <w:t xml:space="preserve"> сільської територіальної громади Подільського району Одеської області</w:t>
      </w:r>
      <w:r>
        <w:br/>
        <w:t>на 2026 - 2028 роки</w:t>
      </w:r>
      <w:bookmarkEnd w:id="0"/>
      <w:bookmarkEnd w:id="1"/>
      <w:bookmarkEnd w:id="2"/>
    </w:p>
    <w:p w:rsidR="00CF4905" w:rsidRDefault="00C64527">
      <w:pPr>
        <w:pStyle w:val="11"/>
        <w:spacing w:after="300"/>
        <w:ind w:firstLine="0"/>
        <w:jc w:val="center"/>
      </w:pPr>
      <w:r>
        <w:rPr>
          <w:b/>
          <w:bCs/>
        </w:rPr>
        <w:t>Загальна частина</w:t>
      </w:r>
    </w:p>
    <w:p w:rsidR="00CF4905" w:rsidRDefault="00C64527">
      <w:pPr>
        <w:pStyle w:val="11"/>
        <w:ind w:firstLine="580"/>
        <w:jc w:val="both"/>
      </w:pPr>
      <w:r>
        <w:t>Середньостроковий план пріоритетних публічних інвестицій (далі - середньостроковий план) розроблено відповідно до абзацу другого частини третьої статті 75</w:t>
      </w:r>
      <w:r w:rsidR="002F2253">
        <w:rPr>
          <w:vertAlign w:val="superscript"/>
        </w:rPr>
        <w:t>2</w:t>
      </w:r>
      <w:r w:rsidR="00F1664E">
        <w:t xml:space="preserve"> </w:t>
      </w:r>
      <w:r>
        <w:t xml:space="preserve">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w:t>
      </w:r>
      <w:r w:rsidR="00F1664E">
        <w:t xml:space="preserve">      </w:t>
      </w:r>
      <w:r>
        <w:t>№ 294</w:t>
      </w:r>
      <w:r w:rsidR="0072063F">
        <w:t>,</w:t>
      </w:r>
      <w:r w:rsidR="0072063F" w:rsidRPr="0072063F">
        <w:rPr>
          <w:bCs/>
          <w:spacing w:val="-5"/>
        </w:rPr>
        <w:t xml:space="preserve"> </w:t>
      </w:r>
      <w:r w:rsidR="0072063F" w:rsidRPr="00433DF2">
        <w:rPr>
          <w:bCs/>
          <w:spacing w:val="-5"/>
        </w:rPr>
        <w:t>наказ</w:t>
      </w:r>
      <w:r w:rsidR="0072063F">
        <w:rPr>
          <w:bCs/>
          <w:spacing w:val="-5"/>
        </w:rPr>
        <w:t>у</w:t>
      </w:r>
      <w:r w:rsidR="0072063F" w:rsidRPr="00433DF2">
        <w:rPr>
          <w:bCs/>
          <w:spacing w:val="-5"/>
        </w:rPr>
        <w:t xml:space="preserve"> Міністерства фінансів України від 2</w:t>
      </w:r>
      <w:r w:rsidR="0072063F">
        <w:rPr>
          <w:bCs/>
          <w:spacing w:val="-5"/>
        </w:rPr>
        <w:t xml:space="preserve">3 травня  </w:t>
      </w:r>
      <w:r w:rsidR="0072063F" w:rsidRPr="00433DF2">
        <w:rPr>
          <w:bCs/>
          <w:spacing w:val="-5"/>
        </w:rPr>
        <w:t>202</w:t>
      </w:r>
      <w:r w:rsidR="0072063F">
        <w:rPr>
          <w:bCs/>
          <w:spacing w:val="-5"/>
        </w:rPr>
        <w:t>5 року</w:t>
      </w:r>
      <w:r w:rsidR="0072063F" w:rsidRPr="00433DF2">
        <w:rPr>
          <w:bCs/>
          <w:spacing w:val="-5"/>
        </w:rPr>
        <w:t xml:space="preserve"> №</w:t>
      </w:r>
      <w:r w:rsidR="0072063F">
        <w:rPr>
          <w:bCs/>
          <w:spacing w:val="-5"/>
        </w:rPr>
        <w:t xml:space="preserve"> 271</w:t>
      </w:r>
      <w:r w:rsidR="0072063F" w:rsidRPr="00433DF2">
        <w:rPr>
          <w:bCs/>
          <w:spacing w:val="-5"/>
        </w:rPr>
        <w:t xml:space="preserve"> </w:t>
      </w:r>
      <w:r w:rsidR="0072063F" w:rsidRPr="00362604">
        <w:rPr>
          <w:bCs/>
          <w:spacing w:val="-5"/>
        </w:rPr>
        <w:t>«</w:t>
      </w:r>
      <w:r w:rsidR="0072063F" w:rsidRPr="00362604">
        <w:rPr>
          <w:bCs/>
          <w:shd w:val="clear" w:color="auto" w:fill="FFFFFF"/>
        </w:rPr>
        <w:t>Про затвердження Методичних рекомендацій щодо організації середньострокового бюджетного планування на місцевому рівні»</w:t>
      </w:r>
      <w:r>
        <w:t>.</w:t>
      </w:r>
    </w:p>
    <w:p w:rsidR="00CF4905" w:rsidRDefault="00C64527">
      <w:pPr>
        <w:pStyle w:val="11"/>
        <w:ind w:firstLine="580"/>
        <w:jc w:val="both"/>
      </w:pPr>
      <w:r>
        <w:t xml:space="preserve">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суспільства публічних інвестиційних </w:t>
      </w:r>
      <w:proofErr w:type="spellStart"/>
      <w:r>
        <w:t>про</w:t>
      </w:r>
      <w:r w:rsidR="0072063F">
        <w:t>є</w:t>
      </w:r>
      <w:r>
        <w:t>ктах</w:t>
      </w:r>
      <w:proofErr w:type="spellEnd"/>
      <w:r>
        <w:t xml:space="preserve"> (далі - </w:t>
      </w:r>
      <w:proofErr w:type="spellStart"/>
      <w:r>
        <w:t>про</w:t>
      </w:r>
      <w:r w:rsidR="0072063F">
        <w:t>є</w:t>
      </w:r>
      <w:r>
        <w:t>кт</w:t>
      </w:r>
      <w:proofErr w:type="spellEnd"/>
      <w:r>
        <w:t>) та програмах публічних інвестицій (далі - програма).</w:t>
      </w:r>
    </w:p>
    <w:p w:rsidR="00CF4905" w:rsidRDefault="00C64527">
      <w:pPr>
        <w:pStyle w:val="11"/>
        <w:spacing w:after="40"/>
        <w:ind w:firstLine="580"/>
        <w:jc w:val="both"/>
      </w:pPr>
      <w:r>
        <w:t>Середньостроковий план визначає:</w:t>
      </w:r>
    </w:p>
    <w:p w:rsidR="00CF4905" w:rsidRDefault="00C64527">
      <w:pPr>
        <w:pStyle w:val="11"/>
        <w:numPr>
          <w:ilvl w:val="0"/>
          <w:numId w:val="1"/>
        </w:numPr>
        <w:tabs>
          <w:tab w:val="left" w:pos="881"/>
        </w:tabs>
        <w:spacing w:line="336" w:lineRule="auto"/>
        <w:ind w:firstLine="580"/>
        <w:jc w:val="both"/>
      </w:pPr>
      <w:bookmarkStart w:id="3" w:name="bookmark3"/>
      <w:bookmarkEnd w:id="3"/>
      <w:r>
        <w:t>наскрізні стратегічні цілі здійснення публічних інвестицій;</w:t>
      </w:r>
    </w:p>
    <w:p w:rsidR="00CF4905" w:rsidRDefault="00C64527">
      <w:pPr>
        <w:pStyle w:val="11"/>
        <w:numPr>
          <w:ilvl w:val="0"/>
          <w:numId w:val="1"/>
        </w:numPr>
        <w:tabs>
          <w:tab w:val="left" w:pos="881"/>
        </w:tabs>
        <w:spacing w:line="336" w:lineRule="auto"/>
        <w:ind w:firstLine="580"/>
        <w:jc w:val="both"/>
      </w:pPr>
      <w:bookmarkStart w:id="4" w:name="bookmark4"/>
      <w:bookmarkEnd w:id="4"/>
      <w:r>
        <w:t>пріоритетні галузі (сектори) для публічного інвестування;</w:t>
      </w:r>
    </w:p>
    <w:p w:rsidR="00CF4905" w:rsidRDefault="00C64527">
      <w:pPr>
        <w:pStyle w:val="11"/>
        <w:numPr>
          <w:ilvl w:val="0"/>
          <w:numId w:val="1"/>
        </w:numPr>
        <w:tabs>
          <w:tab w:val="left" w:pos="881"/>
        </w:tabs>
        <w:spacing w:after="40" w:line="259" w:lineRule="auto"/>
        <w:ind w:firstLine="580"/>
        <w:jc w:val="both"/>
      </w:pPr>
      <w:bookmarkStart w:id="5" w:name="bookmark5"/>
      <w:bookmarkEnd w:id="5"/>
      <w:r>
        <w:t xml:space="preserve">основні напрями публічного інвестування, у тому числі за діючими </w:t>
      </w:r>
      <w:proofErr w:type="spellStart"/>
      <w:r>
        <w:t>проєктами</w:t>
      </w:r>
      <w:proofErr w:type="spellEnd"/>
      <w:r>
        <w:t xml:space="preserve"> та програмами, цільові показники цих напрямів в розрізі сфер політики громади, і відповідний орієнтовний розподіл коштів за рахунок різних джерел фінансування;</w:t>
      </w:r>
    </w:p>
    <w:p w:rsidR="00CF4905" w:rsidRDefault="00C64527">
      <w:pPr>
        <w:pStyle w:val="11"/>
        <w:numPr>
          <w:ilvl w:val="0"/>
          <w:numId w:val="1"/>
        </w:numPr>
        <w:tabs>
          <w:tab w:val="left" w:pos="881"/>
        </w:tabs>
        <w:spacing w:line="336" w:lineRule="auto"/>
        <w:ind w:firstLine="580"/>
        <w:jc w:val="both"/>
      </w:pPr>
      <w:bookmarkStart w:id="6" w:name="bookmark6"/>
      <w:bookmarkEnd w:id="6"/>
      <w:proofErr w:type="spellStart"/>
      <w:r>
        <w:t>підсектори</w:t>
      </w:r>
      <w:proofErr w:type="spellEnd"/>
      <w:r>
        <w:t xml:space="preserve"> галузей (секторів) для публічного інвестування.</w:t>
      </w:r>
    </w:p>
    <w:p w:rsidR="00CF4905" w:rsidRDefault="00C64527">
      <w:pPr>
        <w:pStyle w:val="11"/>
        <w:spacing w:after="300"/>
        <w:ind w:firstLine="580"/>
        <w:jc w:val="both"/>
      </w:pPr>
      <w:r>
        <w:t xml:space="preserve">Сфера дії середньострокового плану включає публічні інвестиції, що спрямовані на реалізацію </w:t>
      </w:r>
      <w:proofErr w:type="spellStart"/>
      <w:r>
        <w:t>про</w:t>
      </w:r>
      <w:r w:rsidR="0072063F">
        <w:t>є</w:t>
      </w:r>
      <w:r>
        <w:t>ктів</w:t>
      </w:r>
      <w:proofErr w:type="spellEnd"/>
      <w:r>
        <w:t xml:space="preserve">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 програми підтримки бізнесу, фінансування від міжнародних 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rsidR="00CF4905" w:rsidRDefault="00C64527">
      <w:pPr>
        <w:pStyle w:val="11"/>
        <w:spacing w:after="300"/>
        <w:ind w:firstLine="0"/>
        <w:jc w:val="center"/>
      </w:pPr>
      <w:r>
        <w:rPr>
          <w:b/>
          <w:bCs/>
        </w:rPr>
        <w:t>Описова частина</w:t>
      </w:r>
    </w:p>
    <w:p w:rsidR="00CF4905" w:rsidRDefault="00C64527">
      <w:pPr>
        <w:pStyle w:val="11"/>
        <w:spacing w:after="320"/>
        <w:ind w:firstLine="580"/>
        <w:jc w:val="both"/>
      </w:pPr>
      <w:r>
        <w:lastRenderedPageBreak/>
        <w:t xml:space="preserve">Середньостроковий план розроблено </w:t>
      </w:r>
      <w:r w:rsidR="007671FA">
        <w:t>місцевою інвестиційною радою</w:t>
      </w:r>
      <w:r>
        <w:t xml:space="preserve"> відповідно до цілей і завдань, визначених документами стратегічного планування, у межах орієнтовного граничного сукупного обсягу публічних інвестиц</w:t>
      </w:r>
      <w:r w:rsidR="007671FA">
        <w:t>ій на середньостроковий період.</w:t>
      </w:r>
    </w:p>
    <w:p w:rsidR="00CF4905" w:rsidRDefault="00C64527">
      <w:pPr>
        <w:pStyle w:val="11"/>
        <w:spacing w:after="320"/>
        <w:ind w:left="1580" w:firstLine="0"/>
        <w:jc w:val="both"/>
      </w:pPr>
      <w:r>
        <w:rPr>
          <w:i/>
          <w:iCs/>
        </w:rPr>
        <w:t>Наскрізні стратегічні цілі здійснення публічних інвестицій</w:t>
      </w:r>
    </w:p>
    <w:p w:rsidR="00CF4905" w:rsidRDefault="00C64527">
      <w:pPr>
        <w:pStyle w:val="11"/>
        <w:ind w:firstLine="580"/>
        <w:jc w:val="both"/>
      </w:pPr>
      <w:r>
        <w:t>Наскрізними стратегічними цілями здійснення публічних інвестицій (далі - наскрізні стратегічні цілі) є цілі, що мають міжгалузевий (</w:t>
      </w:r>
      <w:proofErr w:type="spellStart"/>
      <w:r>
        <w:t>міжсекторальний</w:t>
      </w:r>
      <w:proofErr w:type="spellEnd"/>
      <w:r>
        <w:t>) характер, відповідають національним або глобальним пріоритетам розвитку, 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rsidR="00CF4905" w:rsidRDefault="00C64527">
      <w:pPr>
        <w:pStyle w:val="11"/>
        <w:ind w:firstLine="580"/>
        <w:jc w:val="both"/>
      </w:pPr>
      <w:r>
        <w:t xml:space="preserve">На 2026-2028 роки наскрізними стратегічними цілями є енергоефективність, реагування на зміни клімату, гендерна рівність та </w:t>
      </w:r>
      <w:proofErr w:type="spellStart"/>
      <w:r>
        <w:t>безбар’єрність</w:t>
      </w:r>
      <w:proofErr w:type="spellEnd"/>
      <w:r>
        <w:t>.</w:t>
      </w:r>
    </w:p>
    <w:p w:rsidR="00CF4905" w:rsidRDefault="00C64527">
      <w:pPr>
        <w:pStyle w:val="11"/>
        <w:spacing w:after="320"/>
        <w:ind w:firstLine="580"/>
        <w:jc w:val="both"/>
      </w:pPr>
      <w:r>
        <w:t xml:space="preserve">Наскрізні стратегічні цілі мають ключове значення для досягнення сталого розвитку та соціальної справедливості в Україні.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w:t>
      </w:r>
      <w:proofErr w:type="spellStart"/>
      <w:r>
        <w:t>безбар’єрності</w:t>
      </w:r>
      <w:proofErr w:type="spellEnd"/>
      <w:r>
        <w:t>,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w:t>
      </w:r>
    </w:p>
    <w:p w:rsidR="00CF4905" w:rsidRDefault="00C64527">
      <w:pPr>
        <w:pStyle w:val="11"/>
        <w:spacing w:after="320"/>
        <w:ind w:left="1580" w:firstLine="0"/>
        <w:jc w:val="both"/>
      </w:pPr>
      <w:r>
        <w:rPr>
          <w:i/>
          <w:iCs/>
        </w:rPr>
        <w:t>Пріоритетні галузі (сектори) для публічного інвестування</w:t>
      </w:r>
    </w:p>
    <w:p w:rsidR="00CF4905" w:rsidRDefault="00C64527">
      <w:pPr>
        <w:pStyle w:val="11"/>
        <w:ind w:firstLine="580"/>
        <w:jc w:val="both"/>
      </w:pPr>
      <w:r>
        <w:t xml:space="preserve">Пріоритетні галузі (сектори) для публічного інвестування, що містяться в середньостроковому плані є ключовими для </w:t>
      </w:r>
      <w:r w:rsidR="007671FA">
        <w:t>громади</w:t>
      </w:r>
      <w:r>
        <w:t xml:space="preserve"> та саме на них спрямовуватимуться публічні інвестиції на середньостроковий період.</w:t>
      </w:r>
    </w:p>
    <w:p w:rsidR="00CF4905" w:rsidRDefault="00C64527">
      <w:pPr>
        <w:pStyle w:val="11"/>
        <w:ind w:firstLine="580"/>
        <w:jc w:val="both"/>
      </w:pPr>
      <w:r>
        <w:t xml:space="preserve">Пріоритетні галузі (сектори) для публічного інвестування були відібрані, та впорядковані на період дії середньострокового плану, враховуючи потреби, пріоритети та спроможності </w:t>
      </w:r>
      <w:r w:rsidR="007671FA">
        <w:t>громади</w:t>
      </w:r>
      <w:r>
        <w:t xml:space="preserve">,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w:t>
      </w:r>
      <w:proofErr w:type="spellStart"/>
      <w:r>
        <w:t>про</w:t>
      </w:r>
      <w:r w:rsidR="00801A28">
        <w:t>є</w:t>
      </w:r>
      <w:r>
        <w:t>ктів</w:t>
      </w:r>
      <w:proofErr w:type="spellEnd"/>
      <w:r>
        <w:t xml:space="preserve"> та програм.</w:t>
      </w:r>
    </w:p>
    <w:p w:rsidR="00CF4905" w:rsidRDefault="00C64527">
      <w:pPr>
        <w:pStyle w:val="11"/>
        <w:ind w:firstLine="580"/>
        <w:jc w:val="both"/>
      </w:pPr>
      <w:r>
        <w:t>До пріоритетних галузей (секторів) для публічного інвестування, визначених цим планом, відносяться:</w:t>
      </w:r>
    </w:p>
    <w:p w:rsidR="00CF4905" w:rsidRDefault="00C64527">
      <w:pPr>
        <w:pStyle w:val="11"/>
        <w:ind w:firstLine="580"/>
        <w:jc w:val="both"/>
      </w:pPr>
      <w:r>
        <w:t>Транспорт</w:t>
      </w:r>
      <w:r w:rsidR="007671FA">
        <w:t>;</w:t>
      </w:r>
    </w:p>
    <w:p w:rsidR="00CF4905" w:rsidRDefault="00C64527">
      <w:pPr>
        <w:pStyle w:val="11"/>
        <w:ind w:firstLine="580"/>
        <w:jc w:val="both"/>
      </w:pPr>
      <w:r>
        <w:t>Муніципальна інфраструктура та послуги;</w:t>
      </w:r>
    </w:p>
    <w:p w:rsidR="00CF4905" w:rsidRDefault="00C64527">
      <w:pPr>
        <w:pStyle w:val="11"/>
        <w:ind w:firstLine="580"/>
        <w:jc w:val="both"/>
      </w:pPr>
      <w:r>
        <w:t>Житло;</w:t>
      </w:r>
    </w:p>
    <w:p w:rsidR="00CF4905" w:rsidRDefault="00C64527">
      <w:pPr>
        <w:pStyle w:val="11"/>
        <w:ind w:firstLine="580"/>
        <w:jc w:val="both"/>
      </w:pPr>
      <w:r>
        <w:t>Енергетика;</w:t>
      </w:r>
    </w:p>
    <w:p w:rsidR="00CF4905" w:rsidRDefault="00C64527">
      <w:pPr>
        <w:pStyle w:val="11"/>
        <w:ind w:firstLine="580"/>
        <w:jc w:val="both"/>
      </w:pPr>
      <w:r>
        <w:t>Освіта і наука;</w:t>
      </w:r>
    </w:p>
    <w:p w:rsidR="00CF4905" w:rsidRDefault="00C64527">
      <w:pPr>
        <w:pStyle w:val="11"/>
        <w:ind w:firstLine="580"/>
        <w:jc w:val="both"/>
      </w:pPr>
      <w:r>
        <w:t>Охорона здоров’я;</w:t>
      </w:r>
    </w:p>
    <w:p w:rsidR="00CF4905" w:rsidRDefault="00C64527">
      <w:pPr>
        <w:pStyle w:val="11"/>
        <w:ind w:firstLine="580"/>
        <w:jc w:val="both"/>
      </w:pPr>
      <w:r>
        <w:t>Соціальна сфера;</w:t>
      </w:r>
    </w:p>
    <w:p w:rsidR="00CF4905" w:rsidRDefault="00C64527">
      <w:pPr>
        <w:pStyle w:val="11"/>
        <w:ind w:firstLine="580"/>
        <w:jc w:val="both"/>
      </w:pPr>
      <w:r>
        <w:lastRenderedPageBreak/>
        <w:t>Довкілля;</w:t>
      </w:r>
    </w:p>
    <w:p w:rsidR="00801A28" w:rsidRDefault="00C64527" w:rsidP="00801A28">
      <w:pPr>
        <w:pStyle w:val="11"/>
        <w:spacing w:after="300"/>
        <w:ind w:firstLine="580"/>
        <w:jc w:val="both"/>
      </w:pPr>
      <w:r>
        <w:t>Громадська безпека.</w:t>
      </w:r>
    </w:p>
    <w:p w:rsidR="00CF4905" w:rsidRDefault="00C64527" w:rsidP="00801A28">
      <w:pPr>
        <w:pStyle w:val="11"/>
        <w:spacing w:after="300"/>
        <w:ind w:firstLine="580"/>
        <w:jc w:val="both"/>
      </w:pPr>
      <w:r>
        <w:t xml:space="preserve">З метою досягнення стратегічних цілей розвитку </w:t>
      </w:r>
      <w:r w:rsidR="007671FA">
        <w:t>громади</w:t>
      </w:r>
      <w:r>
        <w:t xml:space="preserve">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середньостроковим планом пропонується визначити 12 ключових секторів (галузей) для публічного інвестування.</w:t>
      </w:r>
    </w:p>
    <w:p w:rsidR="00CF4905" w:rsidRDefault="00C64527">
      <w:pPr>
        <w:pStyle w:val="11"/>
        <w:ind w:firstLine="580"/>
        <w:jc w:val="both"/>
      </w:pPr>
      <w:r>
        <w:t>Сектор (галузь) «</w:t>
      </w:r>
      <w:r>
        <w:rPr>
          <w:b/>
          <w:bCs/>
        </w:rPr>
        <w:t>Транспорт</w:t>
      </w:r>
      <w:r>
        <w:t>» спрямований на модернізацію автомобільних доріг, розвиток міського транспорту. Заплановано програми розвитку та забезпечення безпеки дорожнього руху орієнтовані на відновлення і розвиток конкурентоспроможної та ефективної транспортної системи</w:t>
      </w:r>
      <w:r w:rsidR="007671FA">
        <w:t>.</w:t>
      </w:r>
    </w:p>
    <w:p w:rsidR="00CF4905" w:rsidRDefault="00C64527">
      <w:pPr>
        <w:pStyle w:val="11"/>
        <w:ind w:firstLine="580"/>
        <w:jc w:val="both"/>
      </w:pPr>
      <w:r>
        <w:t xml:space="preserve">Сектор (галузь) </w:t>
      </w:r>
      <w:r>
        <w:rPr>
          <w:b/>
          <w:bCs/>
        </w:rPr>
        <w:t xml:space="preserve">«Муніципальна інфраструктура та послуги» </w:t>
      </w:r>
      <w:r>
        <w:t>спрямований на модернізацію систем водопостачання і водовідведення в населених пунктах, а також підвищення енергоефективності в громадських будівлях. Крім того, публічні інвестиції будуть спрямовані на розбудову та відновлення муніципальної інфраструктури.</w:t>
      </w:r>
    </w:p>
    <w:p w:rsidR="00CF4905" w:rsidRDefault="00C64527">
      <w:pPr>
        <w:pStyle w:val="11"/>
        <w:ind w:firstLine="580"/>
        <w:jc w:val="both"/>
      </w:pPr>
      <w:r>
        <w:t>Сектор (галузь) «</w:t>
      </w:r>
      <w:r>
        <w:rPr>
          <w:b/>
          <w:bCs/>
        </w:rPr>
        <w:t>Житло</w:t>
      </w:r>
      <w:r>
        <w:t>» спрямований на відновлення та забезпечення житлом осіб, чиє майно було знищене або пошкоджене внаслідок збройної агресії. Публічні інвестиції спрямовуватимуться також на будівництво нових житлових об'єктів та створення фонду соціального орендного житла.</w:t>
      </w:r>
    </w:p>
    <w:p w:rsidR="00CF4905" w:rsidRDefault="00C64527">
      <w:pPr>
        <w:pStyle w:val="11"/>
        <w:ind w:firstLine="580"/>
        <w:jc w:val="both"/>
      </w:pPr>
      <w:r>
        <w:t>Сектор (галузь) «</w:t>
      </w:r>
      <w:r>
        <w:rPr>
          <w:b/>
          <w:bCs/>
        </w:rPr>
        <w:t xml:space="preserve">Енергетика» </w:t>
      </w:r>
      <w:r>
        <w:t>спрямований на розвиток та модернізацію енергетичної інфраструктури. Публічні інвестиції спрямовуватимуться на розвиток, реконструкцію та технічне переоснащення діючих об’єктів енергетичної інфраструктури.</w:t>
      </w:r>
    </w:p>
    <w:p w:rsidR="00CF4905" w:rsidRDefault="00C64527">
      <w:pPr>
        <w:pStyle w:val="11"/>
        <w:ind w:firstLine="580"/>
        <w:jc w:val="both"/>
      </w:pPr>
      <w:r>
        <w:t xml:space="preserve">Сектор (галузь) </w:t>
      </w:r>
      <w:r>
        <w:rPr>
          <w:b/>
          <w:bCs/>
        </w:rPr>
        <w:t xml:space="preserve">«Освіта і наука» </w:t>
      </w:r>
      <w:r>
        <w:t>спрямований на модернізацію закладів освіти, покращення їх інфраструктури, забезпечення якості, безпеки та доступності освіти, розбудову національної дослідницької інфраструктури для провадження наукової діяльності на найвищому рівні.</w:t>
      </w:r>
    </w:p>
    <w:p w:rsidR="00CF4905" w:rsidRDefault="00C64527">
      <w:pPr>
        <w:pStyle w:val="11"/>
        <w:ind w:firstLine="580"/>
        <w:jc w:val="both"/>
      </w:pPr>
      <w:r>
        <w:t xml:space="preserve">Сектор (галузь) </w:t>
      </w:r>
      <w:r>
        <w:rPr>
          <w:b/>
          <w:bCs/>
        </w:rPr>
        <w:t xml:space="preserve">«Охорона здоров’я» </w:t>
      </w:r>
      <w:r>
        <w:t>спрямовани</w:t>
      </w:r>
      <w:r w:rsidR="007671FA">
        <w:t>й на розвиток медичних закладів</w:t>
      </w:r>
      <w:r>
        <w:t>. Публічні інвестиції спрямовуватимуться також на покращення доступу до медичних послуг та оснащення закладів охорони здоров'я сучасним медичним обладнанням.</w:t>
      </w:r>
    </w:p>
    <w:p w:rsidR="00CF4905" w:rsidRDefault="00C64527" w:rsidP="004734F2">
      <w:pPr>
        <w:pStyle w:val="11"/>
        <w:spacing w:after="160"/>
        <w:ind w:firstLine="580"/>
        <w:jc w:val="both"/>
      </w:pPr>
      <w:r>
        <w:t xml:space="preserve">Сектор (галузь) </w:t>
      </w:r>
      <w:r>
        <w:rPr>
          <w:b/>
          <w:bCs/>
        </w:rPr>
        <w:t xml:space="preserve">«Соціальна сфера» </w:t>
      </w:r>
      <w:r>
        <w:t xml:space="preserve">спрямований на забезпечення житлом </w:t>
      </w:r>
      <w:r w:rsidR="004734F2">
        <w:t>дітей-сиріт, та дітей позбавлених батьківського піклування</w:t>
      </w:r>
      <w:r>
        <w:t>. Публічні інвестиції спрямовуватимуться на програми реабілітації військовослужбовців й осіб з інвалідністю та підтримки ветеранів через будівництво реабілітаційних</w:t>
      </w:r>
      <w:r w:rsidR="004734F2">
        <w:t xml:space="preserve"> </w:t>
      </w:r>
      <w:r>
        <w:t>закладів.</w:t>
      </w:r>
    </w:p>
    <w:p w:rsidR="00CF4905" w:rsidRDefault="00C64527" w:rsidP="004734F2">
      <w:pPr>
        <w:pStyle w:val="11"/>
        <w:ind w:left="142" w:firstLine="425"/>
        <w:jc w:val="both"/>
      </w:pPr>
      <w:r>
        <w:t xml:space="preserve">Сектор (галузь) </w:t>
      </w:r>
      <w:r>
        <w:rPr>
          <w:b/>
          <w:bCs/>
        </w:rPr>
        <w:t xml:space="preserve">«Довкілля» </w:t>
      </w:r>
      <w:r>
        <w:t>спрямований на захист від шкідливої дії вод населених пунктів, виробничих об’єктів та сільськогосподарських угідь, поводження з радіоактивними відходами, створення безпечних умов життєдіяльності населення.</w:t>
      </w:r>
    </w:p>
    <w:p w:rsidR="00CF4905" w:rsidRDefault="00C64527" w:rsidP="004734F2">
      <w:pPr>
        <w:pStyle w:val="11"/>
        <w:spacing w:after="320"/>
        <w:ind w:left="142" w:firstLine="425"/>
        <w:jc w:val="both"/>
      </w:pPr>
      <w:r>
        <w:t xml:space="preserve">Сектор (галузь) </w:t>
      </w:r>
      <w:r>
        <w:rPr>
          <w:b/>
          <w:bCs/>
        </w:rPr>
        <w:t xml:space="preserve">«Громадська безпека» </w:t>
      </w:r>
      <w:r>
        <w:t xml:space="preserve">спрямований на забезпечення ефективного реагування на надзвичайні ситуації, підвищення рівня безпеки громадян, зменшення негативних наслідків стихійних лих та запобігання їх виникненню шляхом модернізації технічного забезпечення </w:t>
      </w:r>
      <w:proofErr w:type="spellStart"/>
      <w:r>
        <w:t>оперативно</w:t>
      </w:r>
      <w:proofErr w:type="spellEnd"/>
      <w:r w:rsidR="00F1664E">
        <w:t xml:space="preserve"> </w:t>
      </w:r>
      <w:r>
        <w:t>- рятувальних підрозділів ДСНС, а також автоматизації інфраструктури метеорологічних спостережень.</w:t>
      </w:r>
    </w:p>
    <w:p w:rsidR="00CF4905" w:rsidRDefault="00937CD0">
      <w:pPr>
        <w:pStyle w:val="11"/>
        <w:spacing w:after="320"/>
        <w:ind w:left="2260" w:firstLine="0"/>
      </w:pPr>
      <w:r>
        <w:rPr>
          <w:i/>
          <w:iCs/>
        </w:rPr>
        <w:t>С</w:t>
      </w:r>
      <w:r w:rsidR="00C64527">
        <w:rPr>
          <w:i/>
          <w:iCs/>
        </w:rPr>
        <w:t>ектори галузей  для публічного інвестування</w:t>
      </w:r>
    </w:p>
    <w:p w:rsidR="00CF4905" w:rsidRDefault="00937CD0">
      <w:pPr>
        <w:pStyle w:val="11"/>
        <w:ind w:left="680" w:firstLine="700"/>
        <w:jc w:val="both"/>
      </w:pPr>
      <w:r>
        <w:t xml:space="preserve">Галузі </w:t>
      </w:r>
      <w:r w:rsidR="00C64527">
        <w:t>секторів для публічного інвестування визначають конкретні сфери діяльності, що потребують фінансування та особливої уваги з боку держави. Їх визначення дозволяє деталізувати пріоритети та оптимізувати використання бюджетних коштів.</w:t>
      </w:r>
    </w:p>
    <w:p w:rsidR="00CF4905" w:rsidRDefault="00C64527">
      <w:pPr>
        <w:pStyle w:val="11"/>
        <w:ind w:left="680" w:firstLine="700"/>
        <w:jc w:val="both"/>
      </w:pPr>
      <w:r>
        <w:t>У ме</w:t>
      </w:r>
      <w:r w:rsidR="00937CD0">
        <w:t xml:space="preserve">жах кожної пріоритетної галузі </w:t>
      </w:r>
      <w:r>
        <w:t>сектора для публічного інвестування формуються ключові напрями розвитку, які потребують публічних інвестицій.</w:t>
      </w:r>
    </w:p>
    <w:p w:rsidR="00CF4905" w:rsidRDefault="00937CD0">
      <w:pPr>
        <w:pStyle w:val="11"/>
        <w:ind w:left="680" w:firstLine="700"/>
        <w:jc w:val="both"/>
      </w:pPr>
      <w:r>
        <w:t>С</w:t>
      </w:r>
      <w:r w:rsidR="00C64527">
        <w:t>ектори є важливими аналітичними одиницями, які сприяють реалізації державних стратегій розвитку та забезпечують впровадження інтегрованого підходу до управління публічними інвестиціями.</w:t>
      </w:r>
    </w:p>
    <w:p w:rsidR="00CF4905" w:rsidRDefault="00937CD0">
      <w:pPr>
        <w:pStyle w:val="11"/>
        <w:spacing w:after="320"/>
        <w:ind w:left="680" w:firstLine="700"/>
        <w:jc w:val="both"/>
      </w:pPr>
      <w:r>
        <w:t xml:space="preserve">Перелік секторів галузей </w:t>
      </w:r>
      <w:r w:rsidR="00C64527">
        <w:t>для публічного інвестування та основних напрямів для публічног</w:t>
      </w:r>
      <w:r>
        <w:t xml:space="preserve">о інвестування в межах таких </w:t>
      </w:r>
      <w:r w:rsidR="00C64527">
        <w:t>секторів наведено у Додатку 1 до серед</w:t>
      </w:r>
      <w:r>
        <w:t xml:space="preserve">ньострокового плану. Перелік </w:t>
      </w:r>
      <w:r w:rsidR="00C64527">
        <w:t>секторів галузей для публічного інвестування та інших напрямів для публічного інвестування - у Додатку 2.</w:t>
      </w:r>
    </w:p>
    <w:p w:rsidR="00CF4905" w:rsidRDefault="00C64527">
      <w:pPr>
        <w:pStyle w:val="11"/>
        <w:spacing w:after="320"/>
        <w:ind w:firstLine="0"/>
        <w:jc w:val="center"/>
      </w:pPr>
      <w:r>
        <w:rPr>
          <w:i/>
          <w:iCs/>
        </w:rPr>
        <w:t>Основні напрями публічного інвестування</w:t>
      </w:r>
    </w:p>
    <w:p w:rsidR="00CF4905" w:rsidRDefault="00C64527">
      <w:pPr>
        <w:pStyle w:val="11"/>
        <w:ind w:left="680" w:firstLine="700"/>
        <w:jc w:val="both"/>
      </w:pPr>
      <w:r>
        <w:t>Основні напрями публічного інвестування узгоджуються із завданнями  стратегії регіонального розвитку, галузевих (секторальних) стратегій у розрізі сфер державної політики, регіонів і територій та мають найвищий рівень пріоритетності серед інших напрямів відповідної галузі (сектора) для отримання фінансування.</w:t>
      </w:r>
    </w:p>
    <w:p w:rsidR="00CF4905" w:rsidRDefault="00C64527">
      <w:pPr>
        <w:pStyle w:val="11"/>
        <w:ind w:left="680" w:firstLine="700"/>
        <w:jc w:val="both"/>
      </w:pPr>
      <w:r>
        <w:t xml:space="preserve">Формування основних напрямів публічного інвестування здійснювалось </w:t>
      </w:r>
      <w:r w:rsidR="00FA623B">
        <w:t>на основі пропозицій</w:t>
      </w:r>
      <w:r>
        <w:t>, відповідальних за галузі (сектори) для публічного інвестування, з урахуванням завдань, визначених відповідними галузевими (секторальними) стратегіями, а також з урахуванням наявності діючих проектів за відповідними напрямами.</w:t>
      </w:r>
    </w:p>
    <w:p w:rsidR="00CF4905" w:rsidRDefault="00FA623B">
      <w:pPr>
        <w:pStyle w:val="11"/>
        <w:spacing w:after="320"/>
        <w:ind w:left="680" w:firstLine="700"/>
        <w:jc w:val="both"/>
      </w:pPr>
      <w:r>
        <w:t>Відділами,</w:t>
      </w:r>
      <w:r w:rsidR="00C64527">
        <w:t xml:space="preserve"> відповідальними за галузі для публічного інвестування, було подано до </w:t>
      </w:r>
      <w:r>
        <w:t>фінансового відділу</w:t>
      </w:r>
      <w:r w:rsidR="00C64527">
        <w:t xml:space="preserve"> пропозицій до середньо</w:t>
      </w:r>
      <w:r>
        <w:t>строкового плану, що містили 2 напрями</w:t>
      </w:r>
      <w:r w:rsidR="00C64527">
        <w:t xml:space="preserve"> для </w:t>
      </w:r>
      <w:r>
        <w:t>публічного інвестування, з них 2</w:t>
      </w:r>
      <w:r w:rsidR="00C64527">
        <w:t xml:space="preserve"> визначено основними та включено в Додаток 1 до цього плану, </w:t>
      </w:r>
      <w:r w:rsidR="00937CD0">
        <w:t xml:space="preserve">і </w:t>
      </w:r>
      <w:r>
        <w:t xml:space="preserve">2 </w:t>
      </w:r>
      <w:r w:rsidR="00C64527">
        <w:t>напрям</w:t>
      </w:r>
      <w:r>
        <w:t>и</w:t>
      </w:r>
      <w:r w:rsidR="00C64527">
        <w:t xml:space="preserve"> для публічного інвестування відображені у Додатку 2. </w:t>
      </w:r>
    </w:p>
    <w:p w:rsidR="00CF4905" w:rsidRDefault="00C64527">
      <w:pPr>
        <w:pStyle w:val="11"/>
        <w:spacing w:after="240"/>
        <w:ind w:left="3160" w:firstLine="0"/>
        <w:jc w:val="both"/>
      </w:pPr>
      <w:r>
        <w:rPr>
          <w:i/>
          <w:iCs/>
        </w:rPr>
        <w:t>Фінансова структура публічних інвестицій</w:t>
      </w:r>
    </w:p>
    <w:p w:rsidR="00CF4905" w:rsidRDefault="00C64527">
      <w:pPr>
        <w:pStyle w:val="11"/>
        <w:spacing w:after="640"/>
        <w:ind w:left="680" w:firstLine="700"/>
        <w:jc w:val="both"/>
      </w:pPr>
      <w:r>
        <w:t>Орієнтовний граничний сукупний обсяг публічних інвестицій на 2026</w:t>
      </w:r>
      <w:r w:rsidR="00FA623B">
        <w:t>-</w:t>
      </w:r>
      <w:r>
        <w:t>2028 роки в розрізі джерел фінансового забезпечення та за роками становить:</w:t>
      </w:r>
    </w:p>
    <w:p w:rsidR="00CF4905" w:rsidRDefault="00C64527">
      <w:pPr>
        <w:pStyle w:val="a5"/>
        <w:ind w:left="9240"/>
      </w:pPr>
      <w:r>
        <w:rPr>
          <w:u w:val="single"/>
        </w:rPr>
        <w:t>Тис. грн</w:t>
      </w:r>
    </w:p>
    <w:tbl>
      <w:tblPr>
        <w:tblOverlap w:val="never"/>
        <w:tblW w:w="10382" w:type="dxa"/>
        <w:jc w:val="center"/>
        <w:tblLayout w:type="fixed"/>
        <w:tblCellMar>
          <w:left w:w="10" w:type="dxa"/>
          <w:right w:w="10" w:type="dxa"/>
        </w:tblCellMar>
        <w:tblLook w:val="04A0" w:firstRow="1" w:lastRow="0" w:firstColumn="1" w:lastColumn="0" w:noHBand="0" w:noVBand="1"/>
      </w:tblPr>
      <w:tblGrid>
        <w:gridCol w:w="2808"/>
        <w:gridCol w:w="1891"/>
        <w:gridCol w:w="1843"/>
        <w:gridCol w:w="1843"/>
        <w:gridCol w:w="1997"/>
      </w:tblGrid>
      <w:tr w:rsidR="00CF4905" w:rsidTr="005C30C5">
        <w:trPr>
          <w:trHeight w:hRule="exact" w:val="1378"/>
          <w:jc w:val="center"/>
        </w:trPr>
        <w:tc>
          <w:tcPr>
            <w:tcW w:w="2808" w:type="dxa"/>
            <w:tcBorders>
              <w:top w:val="single" w:sz="4" w:space="0" w:color="auto"/>
              <w:left w:val="single" w:sz="4" w:space="0" w:color="auto"/>
            </w:tcBorders>
            <w:shd w:val="clear" w:color="auto" w:fill="FFFFFF"/>
          </w:tcPr>
          <w:p w:rsidR="00CF4905" w:rsidRDefault="00C64527">
            <w:pPr>
              <w:pStyle w:val="a7"/>
              <w:spacing w:before="260" w:line="240" w:lineRule="auto"/>
              <w:jc w:val="center"/>
            </w:pPr>
            <w:r>
              <w:rPr>
                <w:b/>
                <w:bCs/>
                <w:color w:val="333333"/>
              </w:rPr>
              <w:t>Показник</w:t>
            </w:r>
          </w:p>
        </w:tc>
        <w:tc>
          <w:tcPr>
            <w:tcW w:w="1891" w:type="dxa"/>
            <w:tcBorders>
              <w:top w:val="single" w:sz="4" w:space="0" w:color="auto"/>
              <w:left w:val="single" w:sz="4" w:space="0" w:color="auto"/>
            </w:tcBorders>
            <w:shd w:val="clear" w:color="auto" w:fill="FFFFFF"/>
            <w:vAlign w:val="center"/>
          </w:tcPr>
          <w:p w:rsidR="00CF4905" w:rsidRDefault="00C64527">
            <w:pPr>
              <w:pStyle w:val="a7"/>
              <w:spacing w:line="276" w:lineRule="auto"/>
              <w:jc w:val="center"/>
            </w:pPr>
            <w:r>
              <w:rPr>
                <w:b/>
                <w:bCs/>
                <w:color w:val="333333"/>
              </w:rPr>
              <w:t>2026 рік (прогноз)</w:t>
            </w:r>
          </w:p>
        </w:tc>
        <w:tc>
          <w:tcPr>
            <w:tcW w:w="1843" w:type="dxa"/>
            <w:tcBorders>
              <w:top w:val="single" w:sz="4" w:space="0" w:color="auto"/>
              <w:left w:val="single" w:sz="4" w:space="0" w:color="auto"/>
            </w:tcBorders>
            <w:shd w:val="clear" w:color="auto" w:fill="FFFFFF"/>
            <w:vAlign w:val="center"/>
          </w:tcPr>
          <w:p w:rsidR="00CF4905" w:rsidRDefault="00C64527">
            <w:pPr>
              <w:pStyle w:val="a7"/>
              <w:spacing w:line="276" w:lineRule="auto"/>
              <w:jc w:val="center"/>
            </w:pPr>
            <w:r>
              <w:rPr>
                <w:b/>
                <w:bCs/>
                <w:color w:val="333333"/>
              </w:rPr>
              <w:t>2027 рік (прогноз)</w:t>
            </w:r>
          </w:p>
        </w:tc>
        <w:tc>
          <w:tcPr>
            <w:tcW w:w="1843" w:type="dxa"/>
            <w:tcBorders>
              <w:top w:val="single" w:sz="4" w:space="0" w:color="auto"/>
              <w:left w:val="single" w:sz="4" w:space="0" w:color="auto"/>
            </w:tcBorders>
            <w:shd w:val="clear" w:color="auto" w:fill="FFFFFF"/>
            <w:vAlign w:val="center"/>
          </w:tcPr>
          <w:p w:rsidR="00CF4905" w:rsidRDefault="00C64527">
            <w:pPr>
              <w:pStyle w:val="a7"/>
              <w:spacing w:line="276" w:lineRule="auto"/>
              <w:jc w:val="center"/>
            </w:pPr>
            <w:r>
              <w:rPr>
                <w:b/>
                <w:bCs/>
                <w:color w:val="333333"/>
              </w:rPr>
              <w:t>2028 рік (прогноз)</w:t>
            </w:r>
          </w:p>
        </w:tc>
        <w:tc>
          <w:tcPr>
            <w:tcW w:w="1997" w:type="dxa"/>
            <w:tcBorders>
              <w:top w:val="single" w:sz="4" w:space="0" w:color="auto"/>
              <w:left w:val="single" w:sz="4" w:space="0" w:color="auto"/>
              <w:right w:val="single" w:sz="4" w:space="0" w:color="auto"/>
            </w:tcBorders>
            <w:shd w:val="clear" w:color="auto" w:fill="FFFFFF"/>
            <w:vAlign w:val="bottom"/>
          </w:tcPr>
          <w:p w:rsidR="00CF4905" w:rsidRDefault="00C64527">
            <w:pPr>
              <w:pStyle w:val="a7"/>
              <w:spacing w:line="276" w:lineRule="auto"/>
              <w:jc w:val="center"/>
            </w:pPr>
            <w:r>
              <w:rPr>
                <w:b/>
                <w:bCs/>
                <w:color w:val="333333"/>
              </w:rPr>
              <w:t>Разом 2026</w:t>
            </w:r>
            <w:r w:rsidR="00FA623B">
              <w:rPr>
                <w:b/>
                <w:bCs/>
                <w:color w:val="333333"/>
              </w:rPr>
              <w:t>-</w:t>
            </w:r>
            <w:r>
              <w:rPr>
                <w:b/>
                <w:bCs/>
                <w:color w:val="333333"/>
              </w:rPr>
              <w:softHyphen/>
              <w:t>2028 роки (прогноз)</w:t>
            </w:r>
          </w:p>
        </w:tc>
      </w:tr>
      <w:tr w:rsidR="00CF4905" w:rsidTr="005C30C5">
        <w:trPr>
          <w:trHeight w:hRule="exact" w:val="346"/>
          <w:jc w:val="center"/>
        </w:trPr>
        <w:tc>
          <w:tcPr>
            <w:tcW w:w="2808" w:type="dxa"/>
            <w:tcBorders>
              <w:top w:val="single" w:sz="4" w:space="0" w:color="auto"/>
              <w:left w:val="single" w:sz="4" w:space="0" w:color="auto"/>
            </w:tcBorders>
            <w:shd w:val="clear" w:color="auto" w:fill="FFFFFF"/>
            <w:vAlign w:val="bottom"/>
          </w:tcPr>
          <w:p w:rsidR="00CF4905" w:rsidRDefault="00FA623B">
            <w:pPr>
              <w:pStyle w:val="a7"/>
              <w:spacing w:line="240" w:lineRule="auto"/>
            </w:pPr>
            <w:r>
              <w:t>Місцевий бюджет</w:t>
            </w:r>
          </w:p>
        </w:tc>
        <w:tc>
          <w:tcPr>
            <w:tcW w:w="1891" w:type="dxa"/>
            <w:tcBorders>
              <w:top w:val="single" w:sz="4" w:space="0" w:color="auto"/>
              <w:left w:val="single" w:sz="4" w:space="0" w:color="auto"/>
            </w:tcBorders>
            <w:shd w:val="clear" w:color="auto" w:fill="FFFFFF"/>
            <w:vAlign w:val="bottom"/>
          </w:tcPr>
          <w:p w:rsidR="00CF4905" w:rsidRDefault="00FA623B">
            <w:pPr>
              <w:pStyle w:val="a7"/>
              <w:spacing w:line="240" w:lineRule="auto"/>
              <w:ind w:firstLine="320"/>
            </w:pPr>
            <w:r>
              <w:t>244,6</w:t>
            </w:r>
          </w:p>
        </w:tc>
        <w:tc>
          <w:tcPr>
            <w:tcW w:w="1843" w:type="dxa"/>
            <w:tcBorders>
              <w:top w:val="single" w:sz="4" w:space="0" w:color="auto"/>
              <w:left w:val="single" w:sz="4" w:space="0" w:color="auto"/>
            </w:tcBorders>
            <w:shd w:val="clear" w:color="auto" w:fill="FFFFFF"/>
            <w:vAlign w:val="bottom"/>
          </w:tcPr>
          <w:p w:rsidR="00CF4905" w:rsidRDefault="00FA623B" w:rsidP="00FA623B">
            <w:pPr>
              <w:pStyle w:val="a7"/>
              <w:spacing w:line="240" w:lineRule="auto"/>
              <w:ind w:firstLine="260"/>
            </w:pPr>
            <w:r>
              <w:t>244,6</w:t>
            </w:r>
          </w:p>
        </w:tc>
        <w:tc>
          <w:tcPr>
            <w:tcW w:w="1843" w:type="dxa"/>
            <w:tcBorders>
              <w:top w:val="single" w:sz="4" w:space="0" w:color="auto"/>
              <w:left w:val="single" w:sz="4" w:space="0" w:color="auto"/>
            </w:tcBorders>
            <w:shd w:val="clear" w:color="auto" w:fill="FFFFFF"/>
            <w:vAlign w:val="bottom"/>
          </w:tcPr>
          <w:p w:rsidR="00CF4905" w:rsidRDefault="00FA623B">
            <w:pPr>
              <w:pStyle w:val="a7"/>
              <w:spacing w:line="240" w:lineRule="auto"/>
              <w:ind w:firstLine="260"/>
            </w:pPr>
            <w:r>
              <w:t>244,6</w:t>
            </w:r>
          </w:p>
        </w:tc>
        <w:tc>
          <w:tcPr>
            <w:tcW w:w="1997" w:type="dxa"/>
            <w:tcBorders>
              <w:top w:val="single" w:sz="4" w:space="0" w:color="auto"/>
              <w:left w:val="single" w:sz="4" w:space="0" w:color="auto"/>
              <w:right w:val="single" w:sz="4" w:space="0" w:color="auto"/>
            </w:tcBorders>
            <w:shd w:val="clear" w:color="auto" w:fill="FFFFFF"/>
            <w:vAlign w:val="bottom"/>
          </w:tcPr>
          <w:p w:rsidR="00CF4905" w:rsidRPr="005C30C5" w:rsidRDefault="00FA623B">
            <w:pPr>
              <w:pStyle w:val="a7"/>
              <w:spacing w:line="240" w:lineRule="auto"/>
              <w:ind w:firstLine="240"/>
              <w:rPr>
                <w:b/>
              </w:rPr>
            </w:pPr>
            <w:r w:rsidRPr="005C30C5">
              <w:rPr>
                <w:b/>
              </w:rPr>
              <w:t>733,8</w:t>
            </w:r>
          </w:p>
        </w:tc>
      </w:tr>
      <w:tr w:rsidR="005C30C5" w:rsidTr="005C30C5">
        <w:trPr>
          <w:trHeight w:hRule="exact" w:val="1642"/>
          <w:jc w:val="center"/>
        </w:trPr>
        <w:tc>
          <w:tcPr>
            <w:tcW w:w="2808" w:type="dxa"/>
            <w:tcBorders>
              <w:top w:val="single" w:sz="4" w:space="0" w:color="auto"/>
              <w:left w:val="single" w:sz="4" w:space="0" w:color="auto"/>
            </w:tcBorders>
            <w:shd w:val="clear" w:color="auto" w:fill="FFFFFF"/>
            <w:vAlign w:val="bottom"/>
          </w:tcPr>
          <w:p w:rsidR="005C30C5" w:rsidRDefault="007243F7" w:rsidP="005C30C5">
            <w:pPr>
              <w:pStyle w:val="a7"/>
              <w:spacing w:line="240" w:lineRule="auto"/>
            </w:pPr>
            <w:r>
              <w:t>Державний</w:t>
            </w:r>
            <w:r w:rsidR="005C30C5">
              <w:t xml:space="preserve"> бюджет</w:t>
            </w:r>
          </w:p>
        </w:tc>
        <w:tc>
          <w:tcPr>
            <w:tcW w:w="1891" w:type="dxa"/>
            <w:tcBorders>
              <w:top w:val="single" w:sz="4" w:space="0" w:color="auto"/>
              <w:left w:val="single" w:sz="4" w:space="0" w:color="auto"/>
            </w:tcBorders>
            <w:shd w:val="clear" w:color="auto" w:fill="FFFFFF"/>
            <w:vAlign w:val="bottom"/>
          </w:tcPr>
          <w:p w:rsidR="005C30C5" w:rsidRDefault="005C30C5" w:rsidP="005C30C5">
            <w:pPr>
              <w:pStyle w:val="a7"/>
              <w:spacing w:line="240" w:lineRule="auto"/>
              <w:ind w:firstLine="320"/>
            </w:pPr>
            <w:r>
              <w:t>401,4</w:t>
            </w:r>
          </w:p>
        </w:tc>
        <w:tc>
          <w:tcPr>
            <w:tcW w:w="1843" w:type="dxa"/>
            <w:tcBorders>
              <w:top w:val="single" w:sz="4" w:space="0" w:color="auto"/>
              <w:left w:val="single" w:sz="4" w:space="0" w:color="auto"/>
            </w:tcBorders>
            <w:shd w:val="clear" w:color="auto" w:fill="FFFFFF"/>
            <w:vAlign w:val="bottom"/>
          </w:tcPr>
          <w:p w:rsidR="005C30C5" w:rsidRDefault="005C30C5" w:rsidP="005C30C5">
            <w:pPr>
              <w:pStyle w:val="a7"/>
              <w:spacing w:line="240" w:lineRule="auto"/>
              <w:ind w:firstLine="260"/>
            </w:pPr>
            <w:r>
              <w:t>401,4</w:t>
            </w:r>
          </w:p>
        </w:tc>
        <w:tc>
          <w:tcPr>
            <w:tcW w:w="1843" w:type="dxa"/>
            <w:tcBorders>
              <w:top w:val="single" w:sz="4" w:space="0" w:color="auto"/>
              <w:left w:val="single" w:sz="4" w:space="0" w:color="auto"/>
            </w:tcBorders>
            <w:shd w:val="clear" w:color="auto" w:fill="FFFFFF"/>
            <w:vAlign w:val="bottom"/>
          </w:tcPr>
          <w:p w:rsidR="005C30C5" w:rsidRDefault="005C30C5" w:rsidP="005C30C5">
            <w:pPr>
              <w:pStyle w:val="a7"/>
              <w:spacing w:line="240" w:lineRule="auto"/>
              <w:jc w:val="right"/>
            </w:pPr>
            <w:r>
              <w:t>401,4</w:t>
            </w:r>
          </w:p>
        </w:tc>
        <w:tc>
          <w:tcPr>
            <w:tcW w:w="1997" w:type="dxa"/>
            <w:tcBorders>
              <w:top w:val="single" w:sz="4" w:space="0" w:color="auto"/>
              <w:left w:val="single" w:sz="4" w:space="0" w:color="auto"/>
              <w:right w:val="single" w:sz="4" w:space="0" w:color="auto"/>
            </w:tcBorders>
            <w:shd w:val="clear" w:color="auto" w:fill="FFFFFF"/>
            <w:vAlign w:val="bottom"/>
          </w:tcPr>
          <w:p w:rsidR="005C30C5" w:rsidRPr="005C30C5" w:rsidRDefault="005C30C5" w:rsidP="005C30C5">
            <w:pPr>
              <w:pStyle w:val="a7"/>
              <w:spacing w:line="240" w:lineRule="auto"/>
              <w:ind w:firstLine="260"/>
              <w:rPr>
                <w:b/>
              </w:rPr>
            </w:pPr>
            <w:r w:rsidRPr="005C30C5">
              <w:rPr>
                <w:b/>
              </w:rPr>
              <w:t>1204,2</w:t>
            </w:r>
          </w:p>
        </w:tc>
      </w:tr>
      <w:tr w:rsidR="005C30C5" w:rsidTr="005C30C5">
        <w:trPr>
          <w:trHeight w:hRule="exact" w:val="1642"/>
          <w:jc w:val="center"/>
        </w:trPr>
        <w:tc>
          <w:tcPr>
            <w:tcW w:w="2808" w:type="dxa"/>
            <w:tcBorders>
              <w:top w:val="single" w:sz="4" w:space="0" w:color="auto"/>
              <w:left w:val="single" w:sz="4" w:space="0" w:color="auto"/>
              <w:bottom w:val="single" w:sz="4" w:space="0" w:color="auto"/>
            </w:tcBorders>
            <w:shd w:val="clear" w:color="auto" w:fill="FFFFFF"/>
            <w:vAlign w:val="bottom"/>
          </w:tcPr>
          <w:p w:rsidR="005C30C5" w:rsidRDefault="005C30C5" w:rsidP="005C30C5">
            <w:pPr>
              <w:pStyle w:val="a7"/>
              <w:spacing w:line="240" w:lineRule="auto"/>
            </w:pPr>
            <w:r>
              <w:rPr>
                <w:b/>
                <w:bCs/>
                <w:color w:val="333333"/>
              </w:rPr>
              <w:t>РАЗОМ</w:t>
            </w:r>
          </w:p>
        </w:tc>
        <w:tc>
          <w:tcPr>
            <w:tcW w:w="1891" w:type="dxa"/>
            <w:tcBorders>
              <w:top w:val="single" w:sz="4" w:space="0" w:color="auto"/>
              <w:left w:val="single" w:sz="4" w:space="0" w:color="auto"/>
              <w:bottom w:val="single" w:sz="4" w:space="0" w:color="auto"/>
            </w:tcBorders>
            <w:shd w:val="clear" w:color="auto" w:fill="FFFFFF"/>
            <w:vAlign w:val="bottom"/>
          </w:tcPr>
          <w:p w:rsidR="005C30C5" w:rsidRPr="005C30C5" w:rsidRDefault="005C30C5" w:rsidP="005C30C5">
            <w:pPr>
              <w:pStyle w:val="a7"/>
              <w:spacing w:line="240" w:lineRule="auto"/>
              <w:ind w:firstLine="180"/>
              <w:rPr>
                <w:b/>
              </w:rPr>
            </w:pPr>
            <w:r w:rsidRPr="005C30C5">
              <w:rPr>
                <w:b/>
                <w:bCs/>
                <w:color w:val="333333"/>
              </w:rPr>
              <w:t>646,0</w:t>
            </w:r>
          </w:p>
        </w:tc>
        <w:tc>
          <w:tcPr>
            <w:tcW w:w="1843" w:type="dxa"/>
            <w:tcBorders>
              <w:top w:val="single" w:sz="4" w:space="0" w:color="auto"/>
              <w:left w:val="single" w:sz="4" w:space="0" w:color="auto"/>
              <w:bottom w:val="single" w:sz="4" w:space="0" w:color="auto"/>
            </w:tcBorders>
            <w:shd w:val="clear" w:color="auto" w:fill="FFFFFF"/>
            <w:vAlign w:val="bottom"/>
          </w:tcPr>
          <w:p w:rsidR="005C30C5" w:rsidRPr="005C30C5" w:rsidRDefault="005C30C5" w:rsidP="005C30C5">
            <w:pPr>
              <w:pStyle w:val="a7"/>
              <w:spacing w:line="240" w:lineRule="auto"/>
              <w:rPr>
                <w:b/>
              </w:rPr>
            </w:pPr>
            <w:r w:rsidRPr="005C30C5">
              <w:rPr>
                <w:b/>
              </w:rPr>
              <w:t>646,0</w:t>
            </w:r>
          </w:p>
        </w:tc>
        <w:tc>
          <w:tcPr>
            <w:tcW w:w="1843" w:type="dxa"/>
            <w:tcBorders>
              <w:top w:val="single" w:sz="4" w:space="0" w:color="auto"/>
              <w:left w:val="single" w:sz="4" w:space="0" w:color="auto"/>
              <w:bottom w:val="single" w:sz="4" w:space="0" w:color="auto"/>
            </w:tcBorders>
            <w:shd w:val="clear" w:color="auto" w:fill="FFFFFF"/>
            <w:vAlign w:val="bottom"/>
          </w:tcPr>
          <w:p w:rsidR="005C30C5" w:rsidRPr="005C30C5" w:rsidRDefault="005C30C5" w:rsidP="005C30C5">
            <w:pPr>
              <w:pStyle w:val="a7"/>
              <w:spacing w:line="240" w:lineRule="auto"/>
              <w:rPr>
                <w:b/>
              </w:rPr>
            </w:pPr>
            <w:r w:rsidRPr="005C30C5">
              <w:rPr>
                <w:b/>
              </w:rPr>
              <w:t>646,0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5C30C5" w:rsidRPr="005C30C5" w:rsidRDefault="005C30C5" w:rsidP="005C30C5">
            <w:pPr>
              <w:pStyle w:val="a7"/>
              <w:spacing w:line="240" w:lineRule="auto"/>
              <w:rPr>
                <w:b/>
              </w:rPr>
            </w:pPr>
            <w:r w:rsidRPr="005C30C5">
              <w:rPr>
                <w:b/>
              </w:rPr>
              <w:t>1938,0</w:t>
            </w:r>
          </w:p>
        </w:tc>
      </w:tr>
    </w:tbl>
    <w:p w:rsidR="00CF4905" w:rsidRDefault="00C64527">
      <w:pPr>
        <w:spacing w:line="1" w:lineRule="exact"/>
        <w:rPr>
          <w:sz w:val="2"/>
          <w:szCs w:val="2"/>
        </w:rPr>
      </w:pPr>
      <w:r>
        <w:br w:type="page"/>
      </w:r>
    </w:p>
    <w:p w:rsidR="00CF4905" w:rsidRDefault="00C64527" w:rsidP="005C30C5">
      <w:pPr>
        <w:pStyle w:val="11"/>
        <w:ind w:firstLine="0"/>
        <w:jc w:val="both"/>
      </w:pPr>
      <w:r>
        <w:t>Розподіл орієнтовного граничного сукупного обсягу публічних інвестицій на 2026, 2027, 2028 роки на сектори (галузі) для публічного інвестування в межах доведеного орієнтовного граничного сукупного обсягу публічних інвестицій на середньостроковий період має таку структуру:</w:t>
      </w:r>
    </w:p>
    <w:p w:rsidR="00CF4905" w:rsidRDefault="00C64527">
      <w:pPr>
        <w:pStyle w:val="a5"/>
        <w:ind w:left="9240"/>
      </w:pPr>
      <w:r>
        <w:rPr>
          <w:u w:val="single"/>
        </w:rPr>
        <w:t>Тис. грн.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1800"/>
        <w:gridCol w:w="1757"/>
        <w:gridCol w:w="1766"/>
        <w:gridCol w:w="2669"/>
      </w:tblGrid>
      <w:tr w:rsidR="00CF4905">
        <w:trPr>
          <w:trHeight w:hRule="exact" w:val="1522"/>
          <w:jc w:val="center"/>
        </w:trPr>
        <w:tc>
          <w:tcPr>
            <w:tcW w:w="2381" w:type="dxa"/>
            <w:tcBorders>
              <w:top w:val="single" w:sz="4" w:space="0" w:color="auto"/>
              <w:left w:val="single" w:sz="4" w:space="0" w:color="auto"/>
            </w:tcBorders>
            <w:shd w:val="clear" w:color="auto" w:fill="FFFFFF"/>
          </w:tcPr>
          <w:p w:rsidR="00CF4905" w:rsidRDefault="00C64527">
            <w:pPr>
              <w:pStyle w:val="a7"/>
              <w:spacing w:before="120" w:line="240" w:lineRule="auto"/>
            </w:pPr>
            <w:r>
              <w:rPr>
                <w:b/>
                <w:bCs/>
              </w:rPr>
              <w:t>Галузь (сектор)</w:t>
            </w:r>
          </w:p>
        </w:tc>
        <w:tc>
          <w:tcPr>
            <w:tcW w:w="1800" w:type="dxa"/>
            <w:tcBorders>
              <w:top w:val="single" w:sz="4" w:space="0" w:color="auto"/>
              <w:left w:val="single" w:sz="4" w:space="0" w:color="auto"/>
            </w:tcBorders>
            <w:shd w:val="clear" w:color="auto" w:fill="FFFFFF"/>
          </w:tcPr>
          <w:p w:rsidR="00CF4905" w:rsidRDefault="00C64527">
            <w:pPr>
              <w:pStyle w:val="a7"/>
              <w:spacing w:before="120" w:line="240" w:lineRule="auto"/>
            </w:pPr>
            <w:r>
              <w:rPr>
                <w:b/>
                <w:bCs/>
              </w:rPr>
              <w:t>Граничний розподіл на 2026 рік</w:t>
            </w:r>
          </w:p>
        </w:tc>
        <w:tc>
          <w:tcPr>
            <w:tcW w:w="1757" w:type="dxa"/>
            <w:tcBorders>
              <w:top w:val="single" w:sz="4" w:space="0" w:color="auto"/>
              <w:left w:val="single" w:sz="4" w:space="0" w:color="auto"/>
            </w:tcBorders>
            <w:shd w:val="clear" w:color="auto" w:fill="FFFFFF"/>
          </w:tcPr>
          <w:p w:rsidR="00CF4905" w:rsidRDefault="00C64527">
            <w:pPr>
              <w:pStyle w:val="a7"/>
              <w:spacing w:before="120" w:line="240" w:lineRule="auto"/>
            </w:pPr>
            <w:r>
              <w:rPr>
                <w:b/>
                <w:bCs/>
              </w:rPr>
              <w:t>Граничний розподіл на 2027 рік</w:t>
            </w:r>
          </w:p>
        </w:tc>
        <w:tc>
          <w:tcPr>
            <w:tcW w:w="1766" w:type="dxa"/>
            <w:tcBorders>
              <w:top w:val="single" w:sz="4" w:space="0" w:color="auto"/>
              <w:left w:val="single" w:sz="4" w:space="0" w:color="auto"/>
            </w:tcBorders>
            <w:shd w:val="clear" w:color="auto" w:fill="FFFFFF"/>
          </w:tcPr>
          <w:p w:rsidR="00CF4905" w:rsidRDefault="00C64527">
            <w:pPr>
              <w:pStyle w:val="a7"/>
              <w:spacing w:before="120" w:line="240" w:lineRule="auto"/>
            </w:pPr>
            <w:r>
              <w:rPr>
                <w:b/>
                <w:bCs/>
              </w:rPr>
              <w:t>Граничний розподіл на 2028 рік</w:t>
            </w:r>
          </w:p>
        </w:tc>
        <w:tc>
          <w:tcPr>
            <w:tcW w:w="2669" w:type="dxa"/>
            <w:tcBorders>
              <w:top w:val="single" w:sz="4" w:space="0" w:color="auto"/>
              <w:left w:val="single" w:sz="4" w:space="0" w:color="auto"/>
              <w:right w:val="single" w:sz="4" w:space="0" w:color="auto"/>
            </w:tcBorders>
            <w:shd w:val="clear" w:color="auto" w:fill="FFFFFF"/>
            <w:vAlign w:val="center"/>
          </w:tcPr>
          <w:p w:rsidR="00CF4905" w:rsidRDefault="00C64527">
            <w:pPr>
              <w:pStyle w:val="a7"/>
              <w:spacing w:line="240" w:lineRule="auto"/>
            </w:pPr>
            <w:r>
              <w:rPr>
                <w:b/>
                <w:bCs/>
              </w:rPr>
              <w:t>Граничний розподіл на середньостроковий період</w:t>
            </w:r>
          </w:p>
        </w:tc>
      </w:tr>
      <w:tr w:rsidR="00CF4905">
        <w:trPr>
          <w:trHeight w:hRule="exact" w:val="389"/>
          <w:jc w:val="center"/>
        </w:trPr>
        <w:tc>
          <w:tcPr>
            <w:tcW w:w="2381" w:type="dxa"/>
            <w:tcBorders>
              <w:top w:val="single" w:sz="4" w:space="0" w:color="auto"/>
              <w:left w:val="single" w:sz="4" w:space="0" w:color="auto"/>
            </w:tcBorders>
            <w:shd w:val="clear" w:color="auto" w:fill="FFFFFF"/>
            <w:vAlign w:val="bottom"/>
          </w:tcPr>
          <w:p w:rsidR="00CF4905" w:rsidRDefault="00C64527">
            <w:pPr>
              <w:pStyle w:val="a7"/>
              <w:spacing w:line="240" w:lineRule="auto"/>
            </w:pPr>
            <w:r>
              <w:t>Соціальна сфера</w:t>
            </w:r>
            <w:r w:rsidR="00194020">
              <w:t xml:space="preserve"> *</w:t>
            </w:r>
          </w:p>
        </w:tc>
        <w:tc>
          <w:tcPr>
            <w:tcW w:w="1800" w:type="dxa"/>
            <w:tcBorders>
              <w:top w:val="single" w:sz="4" w:space="0" w:color="auto"/>
              <w:left w:val="single" w:sz="4" w:space="0" w:color="auto"/>
            </w:tcBorders>
            <w:shd w:val="clear" w:color="auto" w:fill="FFFFFF"/>
            <w:vAlign w:val="bottom"/>
          </w:tcPr>
          <w:p w:rsidR="00CF4905" w:rsidRDefault="005C30C5">
            <w:pPr>
              <w:pStyle w:val="a7"/>
              <w:spacing w:line="240" w:lineRule="auto"/>
              <w:ind w:firstLine="420"/>
            </w:pPr>
            <w:r>
              <w:t>446,0</w:t>
            </w:r>
          </w:p>
        </w:tc>
        <w:tc>
          <w:tcPr>
            <w:tcW w:w="1757" w:type="dxa"/>
            <w:tcBorders>
              <w:top w:val="single" w:sz="4" w:space="0" w:color="auto"/>
              <w:left w:val="single" w:sz="4" w:space="0" w:color="auto"/>
            </w:tcBorders>
            <w:shd w:val="clear" w:color="auto" w:fill="FFFFFF"/>
            <w:vAlign w:val="bottom"/>
          </w:tcPr>
          <w:p w:rsidR="00CF4905" w:rsidRDefault="005C30C5">
            <w:pPr>
              <w:pStyle w:val="a7"/>
              <w:spacing w:line="240" w:lineRule="auto"/>
              <w:ind w:firstLine="380"/>
            </w:pPr>
            <w:r>
              <w:t>446,0</w:t>
            </w:r>
          </w:p>
        </w:tc>
        <w:tc>
          <w:tcPr>
            <w:tcW w:w="1766" w:type="dxa"/>
            <w:tcBorders>
              <w:top w:val="single" w:sz="4" w:space="0" w:color="auto"/>
              <w:left w:val="single" w:sz="4" w:space="0" w:color="auto"/>
            </w:tcBorders>
            <w:shd w:val="clear" w:color="auto" w:fill="FFFFFF"/>
            <w:vAlign w:val="bottom"/>
          </w:tcPr>
          <w:p w:rsidR="00CF4905" w:rsidRDefault="005C30C5" w:rsidP="005C30C5">
            <w:pPr>
              <w:pStyle w:val="a7"/>
              <w:spacing w:line="240" w:lineRule="auto"/>
              <w:jc w:val="center"/>
            </w:pPr>
            <w:r>
              <w:t>446,0</w:t>
            </w:r>
          </w:p>
        </w:tc>
        <w:tc>
          <w:tcPr>
            <w:tcW w:w="2669" w:type="dxa"/>
            <w:tcBorders>
              <w:top w:val="single" w:sz="4" w:space="0" w:color="auto"/>
              <w:left w:val="single" w:sz="4" w:space="0" w:color="auto"/>
              <w:right w:val="single" w:sz="4" w:space="0" w:color="auto"/>
            </w:tcBorders>
            <w:shd w:val="clear" w:color="auto" w:fill="FFFFFF"/>
            <w:vAlign w:val="bottom"/>
          </w:tcPr>
          <w:p w:rsidR="00CF4905" w:rsidRDefault="005C30C5">
            <w:pPr>
              <w:pStyle w:val="a7"/>
              <w:spacing w:line="240" w:lineRule="auto"/>
              <w:jc w:val="right"/>
            </w:pPr>
            <w:r>
              <w:rPr>
                <w:b/>
                <w:bCs/>
              </w:rPr>
              <w:t>1338,0</w:t>
            </w:r>
          </w:p>
        </w:tc>
      </w:tr>
      <w:tr w:rsidR="00CF4905">
        <w:trPr>
          <w:trHeight w:hRule="exact" w:val="710"/>
          <w:jc w:val="center"/>
        </w:trPr>
        <w:tc>
          <w:tcPr>
            <w:tcW w:w="2381" w:type="dxa"/>
            <w:tcBorders>
              <w:top w:val="single" w:sz="4" w:space="0" w:color="auto"/>
              <w:left w:val="single" w:sz="4" w:space="0" w:color="auto"/>
            </w:tcBorders>
            <w:shd w:val="clear" w:color="auto" w:fill="FFFFFF"/>
            <w:vAlign w:val="center"/>
          </w:tcPr>
          <w:p w:rsidR="00CF4905" w:rsidRDefault="00164380">
            <w:pPr>
              <w:pStyle w:val="a7"/>
              <w:spacing w:line="262" w:lineRule="auto"/>
            </w:pPr>
            <w:r>
              <w:t>Освіта і наука</w:t>
            </w:r>
          </w:p>
        </w:tc>
        <w:tc>
          <w:tcPr>
            <w:tcW w:w="1800" w:type="dxa"/>
            <w:tcBorders>
              <w:top w:val="single" w:sz="4" w:space="0" w:color="auto"/>
              <w:left w:val="single" w:sz="4" w:space="0" w:color="auto"/>
            </w:tcBorders>
            <w:shd w:val="clear" w:color="auto" w:fill="FFFFFF"/>
            <w:vAlign w:val="bottom"/>
          </w:tcPr>
          <w:p w:rsidR="00CF4905" w:rsidRDefault="005C30C5" w:rsidP="00164380">
            <w:pPr>
              <w:pStyle w:val="a7"/>
              <w:spacing w:line="240" w:lineRule="auto"/>
              <w:jc w:val="both"/>
            </w:pPr>
            <w:r>
              <w:t xml:space="preserve">     </w:t>
            </w:r>
            <w:r w:rsidR="00164380">
              <w:t>189,1</w:t>
            </w:r>
          </w:p>
        </w:tc>
        <w:tc>
          <w:tcPr>
            <w:tcW w:w="1757" w:type="dxa"/>
            <w:tcBorders>
              <w:top w:val="single" w:sz="4" w:space="0" w:color="auto"/>
              <w:left w:val="single" w:sz="4" w:space="0" w:color="auto"/>
            </w:tcBorders>
            <w:shd w:val="clear" w:color="auto" w:fill="FFFFFF"/>
            <w:vAlign w:val="bottom"/>
          </w:tcPr>
          <w:p w:rsidR="00CF4905" w:rsidRDefault="005C30C5" w:rsidP="00164380">
            <w:pPr>
              <w:pStyle w:val="a7"/>
              <w:spacing w:line="240" w:lineRule="auto"/>
            </w:pPr>
            <w:r>
              <w:t xml:space="preserve">     </w:t>
            </w:r>
            <w:r w:rsidR="00164380">
              <w:t>189,1</w:t>
            </w:r>
          </w:p>
        </w:tc>
        <w:tc>
          <w:tcPr>
            <w:tcW w:w="1766" w:type="dxa"/>
            <w:tcBorders>
              <w:top w:val="single" w:sz="4" w:space="0" w:color="auto"/>
              <w:left w:val="single" w:sz="4" w:space="0" w:color="auto"/>
            </w:tcBorders>
            <w:shd w:val="clear" w:color="auto" w:fill="FFFFFF"/>
            <w:vAlign w:val="bottom"/>
          </w:tcPr>
          <w:p w:rsidR="00CF4905" w:rsidRDefault="005C30C5" w:rsidP="00164380">
            <w:pPr>
              <w:pStyle w:val="a7"/>
              <w:spacing w:line="240" w:lineRule="auto"/>
            </w:pPr>
            <w:r>
              <w:t xml:space="preserve">        </w:t>
            </w:r>
            <w:r w:rsidR="00164380">
              <w:t>189,1</w:t>
            </w:r>
          </w:p>
        </w:tc>
        <w:tc>
          <w:tcPr>
            <w:tcW w:w="2669" w:type="dxa"/>
            <w:tcBorders>
              <w:top w:val="single" w:sz="4" w:space="0" w:color="auto"/>
              <w:left w:val="single" w:sz="4" w:space="0" w:color="auto"/>
              <w:right w:val="single" w:sz="4" w:space="0" w:color="auto"/>
            </w:tcBorders>
            <w:shd w:val="clear" w:color="auto" w:fill="FFFFFF"/>
            <w:vAlign w:val="bottom"/>
          </w:tcPr>
          <w:p w:rsidR="00CF4905" w:rsidRDefault="00164380" w:rsidP="00164380">
            <w:pPr>
              <w:pStyle w:val="a7"/>
              <w:spacing w:line="240" w:lineRule="auto"/>
              <w:jc w:val="right"/>
            </w:pPr>
            <w:r>
              <w:rPr>
                <w:b/>
                <w:bCs/>
              </w:rPr>
              <w:t>567,3</w:t>
            </w:r>
          </w:p>
        </w:tc>
      </w:tr>
      <w:tr w:rsidR="00CF4905">
        <w:trPr>
          <w:trHeight w:hRule="exact" w:val="778"/>
          <w:jc w:val="center"/>
        </w:trPr>
        <w:tc>
          <w:tcPr>
            <w:tcW w:w="2381" w:type="dxa"/>
            <w:tcBorders>
              <w:top w:val="single" w:sz="4" w:space="0" w:color="auto"/>
              <w:left w:val="single" w:sz="4" w:space="0" w:color="auto"/>
              <w:bottom w:val="single" w:sz="4" w:space="0" w:color="auto"/>
            </w:tcBorders>
            <w:shd w:val="clear" w:color="auto" w:fill="FFFFFF"/>
            <w:vAlign w:val="bottom"/>
          </w:tcPr>
          <w:p w:rsidR="00CF4905" w:rsidRDefault="00C64527">
            <w:pPr>
              <w:pStyle w:val="a7"/>
              <w:spacing w:line="276" w:lineRule="auto"/>
            </w:pPr>
            <w:r>
              <w:rPr>
                <w:b/>
                <w:bCs/>
              </w:rPr>
              <w:t>Загальний результат</w:t>
            </w:r>
          </w:p>
        </w:tc>
        <w:tc>
          <w:tcPr>
            <w:tcW w:w="1800" w:type="dxa"/>
            <w:tcBorders>
              <w:top w:val="single" w:sz="4" w:space="0" w:color="auto"/>
              <w:left w:val="single" w:sz="4" w:space="0" w:color="auto"/>
              <w:bottom w:val="single" w:sz="4" w:space="0" w:color="auto"/>
            </w:tcBorders>
            <w:shd w:val="clear" w:color="auto" w:fill="FFFFFF"/>
            <w:vAlign w:val="bottom"/>
          </w:tcPr>
          <w:p w:rsidR="00CF4905" w:rsidRDefault="00164380" w:rsidP="005C30C5">
            <w:pPr>
              <w:pStyle w:val="a7"/>
              <w:spacing w:line="240" w:lineRule="auto"/>
              <w:jc w:val="center"/>
            </w:pPr>
            <w:r>
              <w:rPr>
                <w:b/>
                <w:bCs/>
              </w:rPr>
              <w:t>635,1</w:t>
            </w:r>
          </w:p>
        </w:tc>
        <w:tc>
          <w:tcPr>
            <w:tcW w:w="1757" w:type="dxa"/>
            <w:tcBorders>
              <w:top w:val="single" w:sz="4" w:space="0" w:color="auto"/>
              <w:left w:val="single" w:sz="4" w:space="0" w:color="auto"/>
              <w:bottom w:val="single" w:sz="4" w:space="0" w:color="auto"/>
            </w:tcBorders>
            <w:shd w:val="clear" w:color="auto" w:fill="FFFFFF"/>
            <w:vAlign w:val="bottom"/>
          </w:tcPr>
          <w:p w:rsidR="00CF4905" w:rsidRPr="005C30C5" w:rsidRDefault="00164380" w:rsidP="005C30C5">
            <w:pPr>
              <w:pStyle w:val="a7"/>
              <w:spacing w:line="240" w:lineRule="auto"/>
              <w:jc w:val="center"/>
              <w:rPr>
                <w:b/>
              </w:rPr>
            </w:pPr>
            <w:r>
              <w:rPr>
                <w:b/>
              </w:rPr>
              <w:t>635,1</w:t>
            </w:r>
          </w:p>
        </w:tc>
        <w:tc>
          <w:tcPr>
            <w:tcW w:w="1766" w:type="dxa"/>
            <w:tcBorders>
              <w:top w:val="single" w:sz="4" w:space="0" w:color="auto"/>
              <w:left w:val="single" w:sz="4" w:space="0" w:color="auto"/>
              <w:bottom w:val="single" w:sz="4" w:space="0" w:color="auto"/>
            </w:tcBorders>
            <w:shd w:val="clear" w:color="auto" w:fill="FFFFFF"/>
            <w:vAlign w:val="bottom"/>
          </w:tcPr>
          <w:p w:rsidR="00CF4905" w:rsidRPr="005C30C5" w:rsidRDefault="00164380" w:rsidP="005C30C5">
            <w:pPr>
              <w:pStyle w:val="a7"/>
              <w:spacing w:line="240" w:lineRule="auto"/>
              <w:jc w:val="center"/>
              <w:rPr>
                <w:b/>
              </w:rPr>
            </w:pPr>
            <w:r>
              <w:rPr>
                <w:b/>
              </w:rPr>
              <w:t>635,1</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CF4905" w:rsidRPr="005C30C5" w:rsidRDefault="00164380">
            <w:pPr>
              <w:pStyle w:val="a7"/>
              <w:spacing w:line="240" w:lineRule="auto"/>
              <w:jc w:val="right"/>
              <w:rPr>
                <w:b/>
              </w:rPr>
            </w:pPr>
            <w:r>
              <w:rPr>
                <w:b/>
              </w:rPr>
              <w:t>1905,3</w:t>
            </w:r>
          </w:p>
        </w:tc>
      </w:tr>
    </w:tbl>
    <w:p w:rsidR="00CF4905" w:rsidRDefault="00CF4905">
      <w:pPr>
        <w:spacing w:after="299" w:line="1" w:lineRule="exact"/>
      </w:pPr>
    </w:p>
    <w:p w:rsidR="00CF4905" w:rsidRDefault="005C30C5">
      <w:pPr>
        <w:pStyle w:val="11"/>
        <w:ind w:left="680" w:firstLine="700"/>
        <w:jc w:val="both"/>
      </w:pPr>
      <w:r>
        <w:t>* Включає кошти Державного бюдже</w:t>
      </w:r>
      <w:r w:rsidR="00194020">
        <w:t>ту на забезпечення житлом дітей-</w:t>
      </w:r>
      <w:r>
        <w:t xml:space="preserve">сиріт  та дітей , позбавлених батьківського піклування, осіб та молоді з їх числа </w:t>
      </w:r>
      <w:r w:rsidR="00C64527">
        <w:t xml:space="preserve"> у розмірі </w:t>
      </w:r>
      <w:r>
        <w:t>401,4</w:t>
      </w:r>
      <w:r w:rsidR="00C64527">
        <w:t xml:space="preserve"> тис. грн.</w:t>
      </w:r>
      <w:r w:rsidR="0098187C">
        <w:t xml:space="preserve">, та на придбання </w:t>
      </w:r>
      <w:r w:rsidR="0098187C">
        <w:t>засоб</w:t>
      </w:r>
      <w:r w:rsidR="0098187C">
        <w:t>ів</w:t>
      </w:r>
      <w:r w:rsidR="0098187C">
        <w:t xml:space="preserve"> навчання та обладнання в межах впровадження реформи “Нова українська школа"</w:t>
      </w:r>
    </w:p>
    <w:p w:rsidR="0098187C" w:rsidRDefault="0098187C">
      <w:pPr>
        <w:pStyle w:val="11"/>
        <w:spacing w:after="300"/>
        <w:ind w:firstLine="0"/>
        <w:jc w:val="center"/>
        <w:rPr>
          <w:i/>
          <w:iCs/>
        </w:rPr>
      </w:pPr>
    </w:p>
    <w:p w:rsidR="00CF4905" w:rsidRDefault="00C64527">
      <w:pPr>
        <w:pStyle w:val="11"/>
        <w:spacing w:after="300"/>
        <w:ind w:firstLine="0"/>
        <w:jc w:val="center"/>
      </w:pPr>
      <w:bookmarkStart w:id="7" w:name="_GoBack"/>
      <w:bookmarkEnd w:id="7"/>
      <w:r>
        <w:rPr>
          <w:i/>
          <w:iCs/>
        </w:rPr>
        <w:t>Підсумки та перспективи</w:t>
      </w:r>
    </w:p>
    <w:p w:rsidR="00CF4905" w:rsidRDefault="00C64527">
      <w:pPr>
        <w:pStyle w:val="11"/>
        <w:ind w:left="680" w:firstLine="700"/>
        <w:jc w:val="both"/>
      </w:pPr>
      <w:r>
        <w:t xml:space="preserve">Середньостроковий план є документом рівня, що формує основу для якісно нового підходу до управління публічними інвестиціями в </w:t>
      </w:r>
      <w:r w:rsidR="005C30C5">
        <w:t>громаді</w:t>
      </w:r>
      <w:r>
        <w:t>.</w:t>
      </w:r>
    </w:p>
    <w:p w:rsidR="00CF4905" w:rsidRDefault="00C64527">
      <w:pPr>
        <w:pStyle w:val="11"/>
        <w:ind w:left="680" w:firstLine="700"/>
        <w:jc w:val="both"/>
      </w:pPr>
      <w:r>
        <w:t xml:space="preserve">Визначення наскрізних стратегічних цілей, узгодження з наявними стратегічними документами, продовження та завершення розпочатих </w:t>
      </w:r>
      <w:proofErr w:type="spellStart"/>
      <w:r>
        <w:t>проєктів</w:t>
      </w:r>
      <w:proofErr w:type="spellEnd"/>
      <w:r>
        <w:t xml:space="preserve">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5C30C5">
        <w:t>громади</w:t>
      </w:r>
      <w:r>
        <w:t>.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державної підтримки у середньостроковому періоді.</w:t>
      </w:r>
    </w:p>
    <w:p w:rsidR="00CF4905" w:rsidRDefault="00C64527">
      <w:pPr>
        <w:pStyle w:val="11"/>
        <w:ind w:left="680" w:firstLine="700"/>
        <w:jc w:val="both"/>
      </w:pPr>
      <w: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w:t>
      </w:r>
      <w:r w:rsidR="005C30C5">
        <w:t>громади</w:t>
      </w:r>
      <w:r>
        <w:t xml:space="preserve"> і галузевих (секторальних) проектних портфелів </w:t>
      </w:r>
      <w:r w:rsidR="005C30C5">
        <w:t>громади</w:t>
      </w:r>
      <w:r>
        <w:t>.</w:t>
      </w:r>
    </w:p>
    <w:p w:rsidR="00CF4905" w:rsidRDefault="00C64527">
      <w:pPr>
        <w:pStyle w:val="11"/>
        <w:ind w:left="680" w:firstLine="700"/>
        <w:jc w:val="both"/>
      </w:pPr>
      <w:r>
        <w:t>Підготовка проектів та програм передбачає обов’язкове визначення напряму публічного інвестування у відповідній галузі (секторі), з яким пов’язаний проект чи програма, а також узгодження мети та цілей проекту з таким напрямом.</w:t>
      </w:r>
    </w:p>
    <w:p w:rsidR="00CF4905" w:rsidRDefault="00C64527">
      <w:pPr>
        <w:pStyle w:val="11"/>
        <w:ind w:left="680" w:firstLine="700"/>
        <w:jc w:val="both"/>
      </w:pPr>
      <w:r>
        <w:t>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rsidR="00CF4905" w:rsidRDefault="00C64527">
      <w:pPr>
        <w:pStyle w:val="11"/>
        <w:ind w:left="680" w:firstLine="700"/>
        <w:jc w:val="both"/>
      </w:pPr>
      <w:r>
        <w:t xml:space="preserve">Без визначення напрямів для публічного інвестування неможлива </w:t>
      </w:r>
      <w:proofErr w:type="spellStart"/>
      <w:r>
        <w:t>пріоритезація</w:t>
      </w:r>
      <w:proofErr w:type="spellEnd"/>
      <w:r>
        <w:t xml:space="preserve"> </w:t>
      </w:r>
      <w:proofErr w:type="spellStart"/>
      <w:r>
        <w:t>про</w:t>
      </w:r>
      <w:r w:rsidR="00F1664E">
        <w:t>є</w:t>
      </w:r>
      <w:r>
        <w:t>ктів</w:t>
      </w:r>
      <w:proofErr w:type="spellEnd"/>
      <w:r>
        <w:t xml:space="preserve">, які включені до галузевого (секторального) </w:t>
      </w:r>
      <w:proofErr w:type="spellStart"/>
      <w:r>
        <w:t>про</w:t>
      </w:r>
      <w:r w:rsidR="00F1664E">
        <w:t>є</w:t>
      </w:r>
      <w:r>
        <w:t>ктн</w:t>
      </w:r>
      <w:r w:rsidR="00F1664E">
        <w:t>ого</w:t>
      </w:r>
      <w:proofErr w:type="spellEnd"/>
      <w:r w:rsidR="00F1664E">
        <w:t xml:space="preserve"> портфеля. </w:t>
      </w:r>
      <w:proofErr w:type="spellStart"/>
      <w:r w:rsidR="00F1664E">
        <w:t>Пріоритезація</w:t>
      </w:r>
      <w:proofErr w:type="spellEnd"/>
      <w:r w:rsidR="00F1664E">
        <w:t xml:space="preserve"> </w:t>
      </w:r>
      <w:proofErr w:type="spellStart"/>
      <w:r w:rsidR="00F1664E">
        <w:t>проє</w:t>
      </w:r>
      <w:r>
        <w:t>ктів</w:t>
      </w:r>
      <w:proofErr w:type="spellEnd"/>
      <w:r>
        <w:t xml:space="preserve"> здійснюється в межах напряму відповідно до критеріїв </w:t>
      </w:r>
      <w:proofErr w:type="spellStart"/>
      <w:r>
        <w:t>пріоритезації</w:t>
      </w:r>
      <w:proofErr w:type="spellEnd"/>
      <w:r>
        <w:t xml:space="preserve">, визначених </w:t>
      </w:r>
      <w:r w:rsidR="00194020">
        <w:t>інвестиційної ради</w:t>
      </w:r>
      <w:r>
        <w:t xml:space="preserve">, відповідальним за реалізацію </w:t>
      </w:r>
      <w:r w:rsidR="00194020">
        <w:t>громадської</w:t>
      </w:r>
      <w:r>
        <w:t xml:space="preserve"> політики у відповідній галузі (секторі), та передбачає розрахунок пріоритетності </w:t>
      </w:r>
      <w:proofErr w:type="spellStart"/>
      <w:r>
        <w:t>про</w:t>
      </w:r>
      <w:r w:rsidR="00F1664E">
        <w:t>є</w:t>
      </w:r>
      <w:r>
        <w:t>ктів</w:t>
      </w:r>
      <w:proofErr w:type="spellEnd"/>
      <w:r>
        <w:t xml:space="preserve"> за бальною системою з метою формування рейтингових списків таких </w:t>
      </w:r>
      <w:proofErr w:type="spellStart"/>
      <w:r>
        <w:t>про</w:t>
      </w:r>
      <w:r w:rsidR="00F1664E">
        <w:t>є</w:t>
      </w:r>
      <w:r>
        <w:t>ктів</w:t>
      </w:r>
      <w:proofErr w:type="spellEnd"/>
      <w:r>
        <w:t xml:space="preserve"> за кожним напрямом публічного інвестування.</w:t>
      </w:r>
    </w:p>
    <w:p w:rsidR="00CF4905" w:rsidRDefault="00C64527">
      <w:pPr>
        <w:pStyle w:val="11"/>
        <w:ind w:left="680" w:firstLine="700"/>
        <w:jc w:val="both"/>
        <w:sectPr w:rsidR="00CF4905">
          <w:headerReference w:type="first" r:id="rId8"/>
          <w:pgSz w:w="11900" w:h="16840"/>
          <w:pgMar w:top="1210" w:right="531" w:bottom="1704" w:left="986" w:header="0" w:footer="3" w:gutter="0"/>
          <w:pgNumType w:start="1"/>
          <w:cols w:space="720"/>
          <w:noEndnote/>
          <w:titlePg/>
          <w:docGrid w:linePitch="360"/>
        </w:sectPr>
      </w:pPr>
      <w:r>
        <w:t xml:space="preserve">В подальшому лише ті </w:t>
      </w:r>
      <w:proofErr w:type="spellStart"/>
      <w:r>
        <w:t>про</w:t>
      </w:r>
      <w:r w:rsidR="00F1664E">
        <w:t>є</w:t>
      </w:r>
      <w:r>
        <w:t>кти</w:t>
      </w:r>
      <w:proofErr w:type="spellEnd"/>
      <w:r>
        <w:t xml:space="preserve"> та програми, що включені до галузевого (секторального) </w:t>
      </w:r>
      <w:proofErr w:type="spellStart"/>
      <w:r>
        <w:t>про</w:t>
      </w:r>
      <w:r w:rsidR="00F1664E">
        <w:t>є</w:t>
      </w:r>
      <w:r>
        <w:t>ктного</w:t>
      </w:r>
      <w:proofErr w:type="spellEnd"/>
      <w:r>
        <w:t xml:space="preserve"> портфеля та відповідають основним напрямам публічного інвестування, визначеним в Додатку 1 до середньострокового плану, можуть бути включені в Єдиний </w:t>
      </w:r>
      <w:proofErr w:type="spellStart"/>
      <w:r>
        <w:t>про</w:t>
      </w:r>
      <w:r w:rsidR="00F1664E">
        <w:t>є</w:t>
      </w:r>
      <w:r>
        <w:t>ктний</w:t>
      </w:r>
      <w:proofErr w:type="spellEnd"/>
      <w:r>
        <w:t xml:space="preserve"> портфель публічних інвестицій держави та, відповідно, зможуть отримати фінансування за рахунок коштів державного бюджету та/або з наданням державної підтримки.</w:t>
      </w:r>
    </w:p>
    <w:p w:rsidR="00CF4905" w:rsidRDefault="00C64527">
      <w:pPr>
        <w:pStyle w:val="11"/>
        <w:spacing w:line="257" w:lineRule="auto"/>
        <w:ind w:firstLine="0"/>
        <w:jc w:val="center"/>
      </w:pPr>
      <w:r>
        <w:t>Додаток № 1</w:t>
      </w:r>
    </w:p>
    <w:p w:rsidR="00CF4905" w:rsidRDefault="00C64527">
      <w:pPr>
        <w:pStyle w:val="11"/>
        <w:spacing w:after="700" w:line="257" w:lineRule="auto"/>
        <w:ind w:firstLine="0"/>
        <w:jc w:val="center"/>
      </w:pPr>
      <w:r>
        <w:t>до Середньострокового плану</w:t>
      </w:r>
      <w:r>
        <w:br/>
        <w:t>пріоритет</w:t>
      </w:r>
      <w:r w:rsidR="00862F28">
        <w:t>них публічних інвестицій громади</w:t>
      </w:r>
      <w:r>
        <w:br/>
        <w:t>на 2026 - 2028 роки</w:t>
      </w:r>
    </w:p>
    <w:p w:rsidR="00CF4905" w:rsidRDefault="00194020">
      <w:pPr>
        <w:pStyle w:val="11"/>
        <w:ind w:firstLine="0"/>
      </w:pPr>
      <w:r>
        <w:t xml:space="preserve">Галузь </w:t>
      </w:r>
      <w:r w:rsidR="00C64527">
        <w:t xml:space="preserve"> для публічного інвестування - </w:t>
      </w:r>
      <w:r w:rsidR="00C64527">
        <w:rPr>
          <w:b/>
          <w:bCs/>
        </w:rPr>
        <w:t>Соціальна сфера</w:t>
      </w:r>
    </w:p>
    <w:p w:rsidR="00CF4905" w:rsidRDefault="00194020">
      <w:pPr>
        <w:pStyle w:val="11"/>
        <w:ind w:firstLine="0"/>
      </w:pPr>
      <w:r>
        <w:t xml:space="preserve">Головний розпорядник </w:t>
      </w:r>
      <w:r w:rsidR="00C64527">
        <w:t>відповідальн</w:t>
      </w:r>
      <w:r>
        <w:t>ий</w:t>
      </w:r>
      <w:r w:rsidR="00C64527">
        <w:t xml:space="preserve"> за галузь (сектор) </w:t>
      </w:r>
      <w:r>
        <w:t xml:space="preserve">для публічного інвестування – </w:t>
      </w:r>
      <w:proofErr w:type="spellStart"/>
      <w:r>
        <w:t>Піщанська</w:t>
      </w:r>
      <w:proofErr w:type="spellEnd"/>
      <w:r>
        <w:t xml:space="preserve"> сільська рада </w:t>
      </w:r>
    </w:p>
    <w:p w:rsidR="00CF4905" w:rsidRPr="00801A28" w:rsidRDefault="00C64527">
      <w:pPr>
        <w:pStyle w:val="11"/>
        <w:spacing w:after="340"/>
        <w:ind w:firstLine="0"/>
      </w:pPr>
      <w:r>
        <w:t>Граничний сукупний обсяг публічних інвестицій на середньостроко</w:t>
      </w:r>
      <w:r w:rsidR="00194020">
        <w:t xml:space="preserve">вий період </w:t>
      </w:r>
      <w:r w:rsidR="00937CD0">
        <w:t>–</w:t>
      </w:r>
      <w:r w:rsidR="00194020">
        <w:t xml:space="preserve"> 133</w:t>
      </w:r>
      <w:r w:rsidR="00937CD0">
        <w:t>,8</w:t>
      </w:r>
      <w:r>
        <w:t xml:space="preserve"> </w:t>
      </w:r>
      <w:r w:rsidRPr="00801A28">
        <w:t>тис. грн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693"/>
        <w:gridCol w:w="1843"/>
        <w:gridCol w:w="3826"/>
        <w:gridCol w:w="1277"/>
        <w:gridCol w:w="850"/>
        <w:gridCol w:w="2424"/>
      </w:tblGrid>
      <w:tr w:rsidR="00CF4905" w:rsidTr="00194020">
        <w:trPr>
          <w:trHeight w:hRule="exact" w:val="782"/>
          <w:jc w:val="center"/>
        </w:trPr>
        <w:tc>
          <w:tcPr>
            <w:tcW w:w="2563" w:type="dxa"/>
            <w:tcBorders>
              <w:top w:val="single" w:sz="4" w:space="0" w:color="auto"/>
              <w:left w:val="single" w:sz="4" w:space="0" w:color="auto"/>
              <w:bottom w:val="single" w:sz="4" w:space="0" w:color="auto"/>
            </w:tcBorders>
            <w:shd w:val="clear" w:color="auto" w:fill="FFFFFF"/>
          </w:tcPr>
          <w:p w:rsidR="00CF4905" w:rsidRDefault="00C64527">
            <w:pPr>
              <w:pStyle w:val="a7"/>
              <w:spacing w:line="240" w:lineRule="auto"/>
            </w:pPr>
            <w:r>
              <w:rPr>
                <w:b/>
                <w:bCs/>
              </w:rPr>
              <w:t>Напрям</w:t>
            </w:r>
          </w:p>
        </w:tc>
        <w:tc>
          <w:tcPr>
            <w:tcW w:w="2693" w:type="dxa"/>
            <w:tcBorders>
              <w:top w:val="single" w:sz="4" w:space="0" w:color="auto"/>
              <w:left w:val="single" w:sz="4" w:space="0" w:color="auto"/>
              <w:bottom w:val="single" w:sz="4" w:space="0" w:color="auto"/>
            </w:tcBorders>
            <w:shd w:val="clear" w:color="auto" w:fill="FFFFFF"/>
          </w:tcPr>
          <w:p w:rsidR="00CF4905" w:rsidRDefault="00C64527">
            <w:pPr>
              <w:pStyle w:val="a7"/>
              <w:spacing w:line="240" w:lineRule="auto"/>
            </w:pPr>
            <w:r>
              <w:rPr>
                <w:b/>
                <w:bCs/>
              </w:rPr>
              <w:t>Діючі проекти</w:t>
            </w:r>
          </w:p>
        </w:tc>
        <w:tc>
          <w:tcPr>
            <w:tcW w:w="1843" w:type="dxa"/>
            <w:tcBorders>
              <w:top w:val="single" w:sz="4" w:space="0" w:color="auto"/>
              <w:left w:val="single" w:sz="4" w:space="0" w:color="auto"/>
              <w:bottom w:val="single" w:sz="4" w:space="0" w:color="auto"/>
            </w:tcBorders>
            <w:shd w:val="clear" w:color="auto" w:fill="FFFFFF"/>
          </w:tcPr>
          <w:p w:rsidR="00CF4905" w:rsidRDefault="00194020">
            <w:pPr>
              <w:pStyle w:val="a7"/>
              <w:spacing w:line="240" w:lineRule="auto"/>
            </w:pPr>
            <w:r>
              <w:rPr>
                <w:b/>
                <w:bCs/>
              </w:rPr>
              <w:t>С</w:t>
            </w:r>
            <w:r w:rsidR="00C64527">
              <w:rPr>
                <w:b/>
                <w:bCs/>
              </w:rPr>
              <w:t>ектор</w:t>
            </w:r>
          </w:p>
        </w:tc>
        <w:tc>
          <w:tcPr>
            <w:tcW w:w="3826" w:type="dxa"/>
            <w:tcBorders>
              <w:top w:val="single" w:sz="4" w:space="0" w:color="auto"/>
              <w:left w:val="single" w:sz="4" w:space="0" w:color="auto"/>
              <w:bottom w:val="single" w:sz="4" w:space="0" w:color="auto"/>
            </w:tcBorders>
            <w:shd w:val="clear" w:color="auto" w:fill="FFFFFF"/>
          </w:tcPr>
          <w:p w:rsidR="00CF4905" w:rsidRDefault="00C64527">
            <w:pPr>
              <w:pStyle w:val="a7"/>
              <w:spacing w:line="240" w:lineRule="auto"/>
            </w:pPr>
            <w:r>
              <w:rPr>
                <w:b/>
                <w:bCs/>
              </w:rPr>
              <w:t>Цільовий показник</w:t>
            </w:r>
          </w:p>
        </w:tc>
        <w:tc>
          <w:tcPr>
            <w:tcW w:w="1277"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54" w:lineRule="auto"/>
            </w:pPr>
            <w:r>
              <w:rPr>
                <w:b/>
                <w:bCs/>
              </w:rPr>
              <w:t>Базове значення</w:t>
            </w:r>
          </w:p>
        </w:tc>
        <w:tc>
          <w:tcPr>
            <w:tcW w:w="850"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57" w:lineRule="auto"/>
            </w:pPr>
            <w:r>
              <w:rPr>
                <w:b/>
                <w:bCs/>
              </w:rPr>
              <w:t>Ціль 2028</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CF4905" w:rsidRDefault="00C64527">
            <w:pPr>
              <w:pStyle w:val="a7"/>
              <w:spacing w:line="240" w:lineRule="auto"/>
            </w:pPr>
            <w:r>
              <w:rPr>
                <w:b/>
                <w:bCs/>
              </w:rPr>
              <w:t>Стратегія</w:t>
            </w:r>
          </w:p>
        </w:tc>
      </w:tr>
      <w:tr w:rsidR="00CF4905" w:rsidTr="00194020">
        <w:trPr>
          <w:trHeight w:hRule="exact" w:val="2861"/>
          <w:jc w:val="center"/>
        </w:trPr>
        <w:tc>
          <w:tcPr>
            <w:tcW w:w="2563" w:type="dxa"/>
            <w:tcBorders>
              <w:top w:val="single" w:sz="4" w:space="0" w:color="auto"/>
              <w:left w:val="single" w:sz="4" w:space="0" w:color="auto"/>
              <w:bottom w:val="single" w:sz="4" w:space="0" w:color="auto"/>
            </w:tcBorders>
            <w:shd w:val="clear" w:color="auto" w:fill="FFFFFF"/>
          </w:tcPr>
          <w:p w:rsidR="00CF4905" w:rsidRDefault="00C64527">
            <w:pPr>
              <w:pStyle w:val="a7"/>
              <w:spacing w:line="257" w:lineRule="auto"/>
            </w:pPr>
            <w:r>
              <w:t>Забезпечення</w:t>
            </w:r>
          </w:p>
          <w:p w:rsidR="00CF4905" w:rsidRDefault="00194020" w:rsidP="00801A28">
            <w:pPr>
              <w:pStyle w:val="a7"/>
              <w:spacing w:line="257" w:lineRule="auto"/>
            </w:pPr>
            <w:r>
              <w:t xml:space="preserve">житлом дітей-сиріт  та дітей, позбавлених батьківського піклування, осіб та молоді з їх числа  </w:t>
            </w:r>
          </w:p>
        </w:tc>
        <w:tc>
          <w:tcPr>
            <w:tcW w:w="2693" w:type="dxa"/>
            <w:tcBorders>
              <w:top w:val="single" w:sz="4" w:space="0" w:color="auto"/>
              <w:left w:val="single" w:sz="4" w:space="0" w:color="auto"/>
              <w:bottom w:val="single" w:sz="4" w:space="0" w:color="auto"/>
            </w:tcBorders>
            <w:shd w:val="clear" w:color="auto" w:fill="FFFFFF"/>
          </w:tcPr>
          <w:p w:rsidR="00CF4905" w:rsidRDefault="00194020" w:rsidP="00801A28">
            <w:pPr>
              <w:pStyle w:val="a7"/>
            </w:pPr>
            <w:r>
              <w:t xml:space="preserve">Забезпечення житлом дітей-сиріт  та дітей, позбавлених батьківського піклування, осіб та молоді з їх числа </w:t>
            </w:r>
            <w:proofErr w:type="spellStart"/>
            <w:r>
              <w:t>Піщанської</w:t>
            </w:r>
            <w:proofErr w:type="spellEnd"/>
            <w:r>
              <w:t xml:space="preserve"> сільської ради</w:t>
            </w:r>
          </w:p>
        </w:tc>
        <w:tc>
          <w:tcPr>
            <w:tcW w:w="1843" w:type="dxa"/>
            <w:tcBorders>
              <w:top w:val="single" w:sz="4" w:space="0" w:color="auto"/>
              <w:left w:val="single" w:sz="4" w:space="0" w:color="auto"/>
              <w:bottom w:val="single" w:sz="4" w:space="0" w:color="auto"/>
            </w:tcBorders>
            <w:shd w:val="clear" w:color="auto" w:fill="FFFFFF"/>
          </w:tcPr>
          <w:p w:rsidR="00CF4905" w:rsidRDefault="00194020">
            <w:pPr>
              <w:pStyle w:val="a7"/>
              <w:spacing w:line="257" w:lineRule="auto"/>
            </w:pPr>
            <w:proofErr w:type="spellStart"/>
            <w:r>
              <w:t>Піщанська</w:t>
            </w:r>
            <w:proofErr w:type="spellEnd"/>
            <w:r>
              <w:t xml:space="preserve"> сільська рада</w:t>
            </w:r>
          </w:p>
        </w:tc>
        <w:tc>
          <w:tcPr>
            <w:tcW w:w="3826" w:type="dxa"/>
            <w:tcBorders>
              <w:top w:val="single" w:sz="4" w:space="0" w:color="auto"/>
              <w:left w:val="single" w:sz="4" w:space="0" w:color="auto"/>
              <w:bottom w:val="single" w:sz="4" w:space="0" w:color="auto"/>
            </w:tcBorders>
            <w:shd w:val="clear" w:color="auto" w:fill="FFFFFF"/>
          </w:tcPr>
          <w:p w:rsidR="00CF4905" w:rsidRDefault="00C64527" w:rsidP="00194020">
            <w:pPr>
              <w:pStyle w:val="a7"/>
            </w:pPr>
            <w:r>
              <w:t xml:space="preserve">Кількість збудованих/придбаних приміщень для </w:t>
            </w:r>
            <w:r w:rsidR="00194020">
              <w:t>таких дітей</w:t>
            </w:r>
          </w:p>
        </w:tc>
        <w:tc>
          <w:tcPr>
            <w:tcW w:w="1277" w:type="dxa"/>
            <w:tcBorders>
              <w:top w:val="single" w:sz="4" w:space="0" w:color="auto"/>
              <w:left w:val="single" w:sz="4" w:space="0" w:color="auto"/>
              <w:bottom w:val="single" w:sz="4" w:space="0" w:color="auto"/>
            </w:tcBorders>
            <w:shd w:val="clear" w:color="auto" w:fill="FFFFFF"/>
          </w:tcPr>
          <w:p w:rsidR="00CF4905" w:rsidRDefault="00194020">
            <w:pPr>
              <w:pStyle w:val="a7"/>
              <w:spacing w:line="240" w:lineRule="auto"/>
            </w:pPr>
            <w:r>
              <w:t>1</w:t>
            </w:r>
          </w:p>
        </w:tc>
        <w:tc>
          <w:tcPr>
            <w:tcW w:w="850" w:type="dxa"/>
            <w:tcBorders>
              <w:top w:val="single" w:sz="4" w:space="0" w:color="auto"/>
              <w:left w:val="single" w:sz="4" w:space="0" w:color="auto"/>
              <w:bottom w:val="single" w:sz="4" w:space="0" w:color="auto"/>
            </w:tcBorders>
            <w:shd w:val="clear" w:color="auto" w:fill="FFFFFF"/>
          </w:tcPr>
          <w:p w:rsidR="00CF4905" w:rsidRDefault="00194020">
            <w:pPr>
              <w:pStyle w:val="a7"/>
              <w:spacing w:line="240" w:lineRule="auto"/>
            </w:pPr>
            <w:r>
              <w:t>3</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CF4905" w:rsidRDefault="00C64527" w:rsidP="00194020">
            <w:pPr>
              <w:pStyle w:val="a7"/>
            </w:pPr>
            <w:r>
              <w:t xml:space="preserve">Стратегія забезпечення права кожної дитини в Україні на </w:t>
            </w:r>
            <w:r w:rsidR="00194020">
              <w:t>забезпечення житлом</w:t>
            </w:r>
            <w:r>
              <w:t xml:space="preserve"> на 2024</w:t>
            </w:r>
            <w:r>
              <w:softHyphen/>
            </w:r>
            <w:r w:rsidR="00194020">
              <w:t>-</w:t>
            </w:r>
            <w:r>
              <w:t>2028 роки</w:t>
            </w:r>
          </w:p>
        </w:tc>
      </w:tr>
    </w:tbl>
    <w:p w:rsidR="00CF4905" w:rsidRDefault="00C64527">
      <w:pPr>
        <w:spacing w:line="1" w:lineRule="exact"/>
        <w:rPr>
          <w:sz w:val="2"/>
          <w:szCs w:val="2"/>
        </w:rPr>
      </w:pPr>
      <w:r>
        <w:br w:type="page"/>
      </w:r>
    </w:p>
    <w:p w:rsidR="00CF4905" w:rsidRDefault="00CF4905">
      <w:pPr>
        <w:spacing w:line="1" w:lineRule="exact"/>
        <w:rPr>
          <w:sz w:val="2"/>
          <w:szCs w:val="2"/>
        </w:rPr>
      </w:pPr>
    </w:p>
    <w:p w:rsidR="00CF4905" w:rsidRDefault="00194020">
      <w:pPr>
        <w:pStyle w:val="a5"/>
      </w:pPr>
      <w:r>
        <w:t>Галузь</w:t>
      </w:r>
      <w:r w:rsidR="00C64527">
        <w:t xml:space="preserve"> для публічного інвестування </w:t>
      </w:r>
      <w:r w:rsidR="00744347">
        <w:t>–</w:t>
      </w:r>
      <w:r w:rsidR="00C64527">
        <w:t xml:space="preserve"> </w:t>
      </w:r>
      <w:r w:rsidR="00744347">
        <w:rPr>
          <w:b/>
          <w:bCs/>
        </w:rPr>
        <w:t>Освіта і наука</w:t>
      </w:r>
    </w:p>
    <w:p w:rsidR="00194020" w:rsidRPr="00194020" w:rsidRDefault="00194020" w:rsidP="00194020">
      <w:pPr>
        <w:pStyle w:val="a5"/>
      </w:pPr>
      <w:r w:rsidRPr="00194020">
        <w:t xml:space="preserve">Головний розпорядник відповідальний за галузь (сектор) для публічного інвестування – </w:t>
      </w:r>
      <w:r w:rsidR="00744347" w:rsidRPr="00744347">
        <w:t xml:space="preserve">Відділ освіти, культури, молоді та спорту </w:t>
      </w:r>
      <w:proofErr w:type="spellStart"/>
      <w:r w:rsidR="00744347" w:rsidRPr="00744347">
        <w:t>Піщанської</w:t>
      </w:r>
      <w:proofErr w:type="spellEnd"/>
      <w:r w:rsidR="00744347" w:rsidRPr="00744347">
        <w:t xml:space="preserve"> сільської ради Подільського району Одеської області</w:t>
      </w:r>
    </w:p>
    <w:p w:rsidR="00CF4905" w:rsidRDefault="00C64527">
      <w:pPr>
        <w:pStyle w:val="a5"/>
      </w:pPr>
      <w:r>
        <w:t xml:space="preserve">Граничний сукупний обсяг публічних інвестицій на середньостроковий період </w:t>
      </w:r>
      <w:r w:rsidR="00194020">
        <w:t>–</w:t>
      </w:r>
      <w:r>
        <w:t xml:space="preserve"> </w:t>
      </w:r>
      <w:r w:rsidR="00164380">
        <w:t>567,3</w:t>
      </w:r>
      <w:r w:rsidR="00194020">
        <w:t xml:space="preserve"> </w:t>
      </w:r>
      <w:r>
        <w:t>тис. грн</w:t>
      </w:r>
    </w:p>
    <w:p w:rsidR="0009753B" w:rsidRDefault="0009753B">
      <w:pPr>
        <w:pStyle w:val="a5"/>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126"/>
        <w:gridCol w:w="2126"/>
        <w:gridCol w:w="3686"/>
        <w:gridCol w:w="1416"/>
        <w:gridCol w:w="1066"/>
        <w:gridCol w:w="2069"/>
      </w:tblGrid>
      <w:tr w:rsidR="00CF4905" w:rsidTr="00744347">
        <w:trPr>
          <w:trHeight w:hRule="exact" w:val="874"/>
          <w:jc w:val="center"/>
        </w:trPr>
        <w:tc>
          <w:tcPr>
            <w:tcW w:w="2563" w:type="dxa"/>
            <w:tcBorders>
              <w:top w:val="single" w:sz="4" w:space="0" w:color="auto"/>
              <w:left w:val="single" w:sz="4" w:space="0" w:color="auto"/>
              <w:bottom w:val="single" w:sz="4" w:space="0" w:color="auto"/>
            </w:tcBorders>
            <w:shd w:val="clear" w:color="auto" w:fill="FFFFFF"/>
          </w:tcPr>
          <w:p w:rsidR="00CF4905" w:rsidRDefault="00C64527">
            <w:pPr>
              <w:pStyle w:val="a7"/>
              <w:spacing w:before="120" w:line="240" w:lineRule="auto"/>
            </w:pPr>
            <w:r>
              <w:rPr>
                <w:b/>
                <w:bCs/>
              </w:rPr>
              <w:t>Напрям</w:t>
            </w:r>
          </w:p>
        </w:tc>
        <w:tc>
          <w:tcPr>
            <w:tcW w:w="2126" w:type="dxa"/>
            <w:tcBorders>
              <w:top w:val="single" w:sz="4" w:space="0" w:color="auto"/>
              <w:left w:val="single" w:sz="4" w:space="0" w:color="auto"/>
              <w:bottom w:val="single" w:sz="4" w:space="0" w:color="auto"/>
            </w:tcBorders>
            <w:shd w:val="clear" w:color="auto" w:fill="FFFFFF"/>
          </w:tcPr>
          <w:p w:rsidR="00CF4905" w:rsidRDefault="00C64527">
            <w:pPr>
              <w:pStyle w:val="a7"/>
              <w:spacing w:before="120" w:line="240" w:lineRule="auto"/>
            </w:pPr>
            <w:r>
              <w:rPr>
                <w:b/>
                <w:bCs/>
              </w:rPr>
              <w:t>Діючі проекти</w:t>
            </w:r>
          </w:p>
        </w:tc>
        <w:tc>
          <w:tcPr>
            <w:tcW w:w="2126" w:type="dxa"/>
            <w:tcBorders>
              <w:top w:val="single" w:sz="4" w:space="0" w:color="auto"/>
              <w:left w:val="single" w:sz="4" w:space="0" w:color="auto"/>
              <w:bottom w:val="single" w:sz="4" w:space="0" w:color="auto"/>
            </w:tcBorders>
            <w:shd w:val="clear" w:color="auto" w:fill="FFFFFF"/>
          </w:tcPr>
          <w:p w:rsidR="00CF4905" w:rsidRDefault="0009753B">
            <w:pPr>
              <w:pStyle w:val="a7"/>
              <w:spacing w:before="120" w:line="240" w:lineRule="auto"/>
            </w:pPr>
            <w:r>
              <w:rPr>
                <w:b/>
                <w:bCs/>
              </w:rPr>
              <w:t>С</w:t>
            </w:r>
            <w:r w:rsidR="00C64527">
              <w:rPr>
                <w:b/>
                <w:bCs/>
              </w:rPr>
              <w:t>ектор</w:t>
            </w:r>
          </w:p>
        </w:tc>
        <w:tc>
          <w:tcPr>
            <w:tcW w:w="3686" w:type="dxa"/>
            <w:tcBorders>
              <w:top w:val="single" w:sz="4" w:space="0" w:color="auto"/>
              <w:left w:val="single" w:sz="4" w:space="0" w:color="auto"/>
              <w:bottom w:val="single" w:sz="4" w:space="0" w:color="auto"/>
            </w:tcBorders>
            <w:shd w:val="clear" w:color="auto" w:fill="FFFFFF"/>
          </w:tcPr>
          <w:p w:rsidR="00CF4905" w:rsidRDefault="00C64527">
            <w:pPr>
              <w:pStyle w:val="a7"/>
              <w:spacing w:before="120" w:line="240" w:lineRule="auto"/>
            </w:pPr>
            <w:r>
              <w:rPr>
                <w:b/>
                <w:bCs/>
              </w:rPr>
              <w:t>Цільовий показник</w:t>
            </w:r>
          </w:p>
        </w:tc>
        <w:tc>
          <w:tcPr>
            <w:tcW w:w="1416"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pPr>
            <w:r>
              <w:rPr>
                <w:b/>
                <w:bCs/>
              </w:rPr>
              <w:t>Базове значення</w:t>
            </w:r>
          </w:p>
        </w:tc>
        <w:tc>
          <w:tcPr>
            <w:tcW w:w="1066"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pPr>
            <w:r>
              <w:rPr>
                <w:b/>
                <w:bCs/>
              </w:rPr>
              <w:t>Ціль 2028</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CF4905" w:rsidRDefault="00C64527">
            <w:pPr>
              <w:pStyle w:val="a7"/>
              <w:spacing w:before="120" w:line="240" w:lineRule="auto"/>
            </w:pPr>
            <w:r>
              <w:rPr>
                <w:b/>
                <w:bCs/>
              </w:rPr>
              <w:t>Стратегія</w:t>
            </w:r>
          </w:p>
        </w:tc>
      </w:tr>
      <w:tr w:rsidR="00744347" w:rsidTr="00744347">
        <w:trPr>
          <w:trHeight w:hRule="exact" w:val="2700"/>
          <w:jc w:val="center"/>
        </w:trPr>
        <w:tc>
          <w:tcPr>
            <w:tcW w:w="2563" w:type="dxa"/>
            <w:tcBorders>
              <w:top w:val="single" w:sz="4" w:space="0" w:color="auto"/>
              <w:left w:val="single" w:sz="4" w:space="0" w:color="auto"/>
              <w:bottom w:val="single" w:sz="4" w:space="0" w:color="auto"/>
            </w:tcBorders>
            <w:shd w:val="clear" w:color="auto" w:fill="FFFFFF"/>
          </w:tcPr>
          <w:p w:rsidR="00744347" w:rsidRDefault="00744347" w:rsidP="00744347">
            <w:pPr>
              <w:pStyle w:val="a7"/>
            </w:pPr>
            <w:r>
              <w:t>Забезпечення закладів загальної середньої освіти засобами навчання та обладнанням в межах впровадження реформи “Нова українська школа"”</w:t>
            </w:r>
          </w:p>
        </w:tc>
        <w:tc>
          <w:tcPr>
            <w:tcW w:w="2126" w:type="dxa"/>
            <w:tcBorders>
              <w:top w:val="single" w:sz="4" w:space="0" w:color="auto"/>
              <w:left w:val="single" w:sz="4" w:space="0" w:color="auto"/>
              <w:bottom w:val="single" w:sz="4" w:space="0" w:color="auto"/>
            </w:tcBorders>
            <w:shd w:val="clear" w:color="auto" w:fill="FFFFFF"/>
          </w:tcPr>
          <w:p w:rsidR="00744347" w:rsidRDefault="00744347" w:rsidP="00744347">
            <w:pPr>
              <w:pStyle w:val="a7"/>
            </w:pPr>
            <w:r>
              <w:t>Забезпечення якісної, сучасної та доступної загальної середньої освіти «Нова українська школа»</w:t>
            </w:r>
          </w:p>
        </w:tc>
        <w:tc>
          <w:tcPr>
            <w:tcW w:w="2126" w:type="dxa"/>
            <w:tcBorders>
              <w:top w:val="single" w:sz="4" w:space="0" w:color="auto"/>
              <w:left w:val="single" w:sz="4" w:space="0" w:color="auto"/>
              <w:bottom w:val="single" w:sz="4" w:space="0" w:color="auto"/>
            </w:tcBorders>
            <w:shd w:val="clear" w:color="auto" w:fill="FFFFFF"/>
          </w:tcPr>
          <w:p w:rsidR="00744347" w:rsidRDefault="00744347" w:rsidP="00744347">
            <w:pPr>
              <w:pStyle w:val="a7"/>
              <w:spacing w:line="254" w:lineRule="auto"/>
            </w:pPr>
            <w:r w:rsidRPr="00744347">
              <w:t xml:space="preserve">Відділ освіти, культури, молоді та спорту </w:t>
            </w:r>
            <w:proofErr w:type="spellStart"/>
            <w:r w:rsidRPr="00744347">
              <w:t>Піщанської</w:t>
            </w:r>
            <w:proofErr w:type="spellEnd"/>
            <w:r w:rsidRPr="00744347">
              <w:t xml:space="preserve"> сільської ради Подільського району Одеської області</w:t>
            </w:r>
          </w:p>
        </w:tc>
        <w:tc>
          <w:tcPr>
            <w:tcW w:w="3686" w:type="dxa"/>
            <w:tcBorders>
              <w:top w:val="single" w:sz="4" w:space="0" w:color="auto"/>
              <w:left w:val="single" w:sz="4" w:space="0" w:color="auto"/>
              <w:bottom w:val="single" w:sz="4" w:space="0" w:color="auto"/>
            </w:tcBorders>
            <w:shd w:val="clear" w:color="auto" w:fill="FFFFFF"/>
            <w:vAlign w:val="center"/>
          </w:tcPr>
          <w:p w:rsidR="00744347" w:rsidRDefault="00744347" w:rsidP="00744347">
            <w:pPr>
              <w:pStyle w:val="a7"/>
              <w:spacing w:line="240" w:lineRule="auto"/>
            </w:pPr>
            <w:r w:rsidRPr="00744347">
              <w:t>Частка навчальних кабінетів, які забезпечено сучасним освітнім навчальним</w:t>
            </w:r>
            <w:r>
              <w:t xml:space="preserve"> </w:t>
            </w:r>
            <w:r w:rsidRPr="00744347">
              <w:t>обладнанням для реалізації Державного стандарту базової середньої освіти</w:t>
            </w:r>
          </w:p>
        </w:tc>
        <w:tc>
          <w:tcPr>
            <w:tcW w:w="1416" w:type="dxa"/>
            <w:tcBorders>
              <w:top w:val="single" w:sz="4" w:space="0" w:color="auto"/>
              <w:left w:val="single" w:sz="4" w:space="0" w:color="auto"/>
              <w:bottom w:val="single" w:sz="4" w:space="0" w:color="auto"/>
            </w:tcBorders>
            <w:shd w:val="clear" w:color="auto" w:fill="FFFFFF"/>
          </w:tcPr>
          <w:p w:rsidR="00744347" w:rsidRDefault="00744347" w:rsidP="00744347">
            <w:pPr>
              <w:pStyle w:val="a7"/>
              <w:spacing w:before="100" w:line="240" w:lineRule="auto"/>
            </w:pPr>
            <w:r>
              <w:t>2</w:t>
            </w:r>
          </w:p>
        </w:tc>
        <w:tc>
          <w:tcPr>
            <w:tcW w:w="1066" w:type="dxa"/>
            <w:tcBorders>
              <w:top w:val="single" w:sz="4" w:space="0" w:color="auto"/>
              <w:left w:val="single" w:sz="4" w:space="0" w:color="auto"/>
              <w:bottom w:val="single" w:sz="4" w:space="0" w:color="auto"/>
            </w:tcBorders>
            <w:shd w:val="clear" w:color="auto" w:fill="FFFFFF"/>
          </w:tcPr>
          <w:p w:rsidR="00744347" w:rsidRDefault="00744347" w:rsidP="00744347">
            <w:pPr>
              <w:pStyle w:val="a7"/>
              <w:spacing w:before="100" w:line="240" w:lineRule="auto"/>
            </w:pPr>
            <w:r>
              <w:t>6</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744347" w:rsidRDefault="00744347" w:rsidP="00744347">
            <w:pPr>
              <w:pStyle w:val="a7"/>
              <w:spacing w:before="100" w:line="240" w:lineRule="auto"/>
            </w:pPr>
            <w:r w:rsidRPr="00744347">
              <w:t>Державна стратегія регіонального розвитку на 2021-2027 роки</w:t>
            </w:r>
          </w:p>
        </w:tc>
      </w:tr>
    </w:tbl>
    <w:p w:rsidR="00CF4905" w:rsidRDefault="00CF4905">
      <w:pPr>
        <w:spacing w:line="1" w:lineRule="exact"/>
        <w:rPr>
          <w:sz w:val="2"/>
          <w:szCs w:val="2"/>
        </w:rPr>
      </w:pPr>
    </w:p>
    <w:p w:rsidR="00CF4905" w:rsidRDefault="00CF4905">
      <w:pPr>
        <w:sectPr w:rsidR="00CF4905">
          <w:headerReference w:type="default" r:id="rId9"/>
          <w:pgSz w:w="16840" w:h="11900" w:orient="landscape"/>
          <w:pgMar w:top="1007" w:right="669" w:bottom="871" w:left="677" w:header="0" w:footer="443" w:gutter="0"/>
          <w:pgNumType w:start="2"/>
          <w:cols w:space="720"/>
          <w:noEndnote/>
          <w:docGrid w:linePitch="360"/>
        </w:sectPr>
      </w:pPr>
    </w:p>
    <w:p w:rsidR="00CF4905" w:rsidRDefault="00C64527">
      <w:pPr>
        <w:pStyle w:val="11"/>
        <w:spacing w:line="259" w:lineRule="auto"/>
        <w:ind w:left="9540" w:firstLine="0"/>
      </w:pPr>
      <w:r>
        <w:t>Додаток № 2</w:t>
      </w:r>
    </w:p>
    <w:p w:rsidR="00CF4905" w:rsidRDefault="00C64527" w:rsidP="00164380">
      <w:pPr>
        <w:pStyle w:val="11"/>
        <w:spacing w:after="120"/>
        <w:ind w:left="9543" w:firstLine="0"/>
      </w:pPr>
      <w:r>
        <w:t>до Середньострокового плану пріоритет</w:t>
      </w:r>
      <w:r w:rsidR="00862F28">
        <w:t>них публічних інвестицій громади</w:t>
      </w:r>
      <w:r>
        <w:t xml:space="preserve"> на 2026 - 2028 </w:t>
      </w:r>
    </w:p>
    <w:p w:rsidR="00CF4905" w:rsidRDefault="00C64527">
      <w:pPr>
        <w:pStyle w:val="10"/>
        <w:keepNext/>
        <w:keepLines/>
        <w:spacing w:before="0" w:after="420"/>
      </w:pPr>
      <w:bookmarkStart w:id="8" w:name="bookmark7"/>
      <w:bookmarkStart w:id="9" w:name="bookmark8"/>
      <w:bookmarkStart w:id="10" w:name="bookmark9"/>
      <w:r>
        <w:t>Напрями публічного інвестування</w:t>
      </w:r>
      <w:bookmarkEnd w:id="8"/>
      <w:bookmarkEnd w:id="9"/>
      <w:bookmarkEnd w:id="10"/>
    </w:p>
    <w:p w:rsidR="00CF4905" w:rsidRDefault="0009753B">
      <w:pPr>
        <w:pStyle w:val="11"/>
        <w:ind w:firstLine="0"/>
      </w:pPr>
      <w:r>
        <w:t xml:space="preserve">Галузь </w:t>
      </w:r>
      <w:r w:rsidR="00C64527">
        <w:t xml:space="preserve">для публічного інвестування </w:t>
      </w:r>
      <w:r w:rsidR="00164380">
        <w:t>–</w:t>
      </w:r>
      <w:r w:rsidR="00C64527">
        <w:t xml:space="preserve"> </w:t>
      </w:r>
      <w:r w:rsidR="00164380">
        <w:rPr>
          <w:b/>
          <w:bCs/>
        </w:rPr>
        <w:t>Освіта і наука</w:t>
      </w:r>
    </w:p>
    <w:p w:rsidR="0009753B" w:rsidRPr="0009753B" w:rsidRDefault="0009753B" w:rsidP="0009753B">
      <w:pPr>
        <w:pStyle w:val="11"/>
        <w:spacing w:after="360"/>
        <w:ind w:firstLine="0"/>
      </w:pPr>
      <w:r w:rsidRPr="0009753B">
        <w:t xml:space="preserve">Головний розпорядник відповідальний за галузь (сектор) для публічного інвестування – </w:t>
      </w:r>
      <w:r w:rsidR="00164380" w:rsidRPr="00164380">
        <w:t xml:space="preserve">Відділ освіти, культури, молоді та спорту </w:t>
      </w:r>
      <w:proofErr w:type="spellStart"/>
      <w:r w:rsidR="00164380" w:rsidRPr="00164380">
        <w:t>Піщанської</w:t>
      </w:r>
      <w:proofErr w:type="spellEnd"/>
      <w:r w:rsidR="00164380" w:rsidRPr="00164380">
        <w:t xml:space="preserve"> сільської ради Подільського району Одеської області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33"/>
        <w:gridCol w:w="2750"/>
        <w:gridCol w:w="3000"/>
        <w:gridCol w:w="1282"/>
        <w:gridCol w:w="1075"/>
        <w:gridCol w:w="2309"/>
      </w:tblGrid>
      <w:tr w:rsidR="00CF4905" w:rsidTr="00164380">
        <w:trPr>
          <w:trHeight w:hRule="exact" w:val="734"/>
          <w:jc w:val="center"/>
        </w:trPr>
        <w:tc>
          <w:tcPr>
            <w:tcW w:w="4733"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Напрям</w:t>
            </w:r>
          </w:p>
        </w:tc>
        <w:tc>
          <w:tcPr>
            <w:tcW w:w="2750" w:type="dxa"/>
            <w:tcBorders>
              <w:top w:val="single" w:sz="4" w:space="0" w:color="auto"/>
              <w:left w:val="single" w:sz="4" w:space="0" w:color="auto"/>
              <w:bottom w:val="single" w:sz="4" w:space="0" w:color="auto"/>
            </w:tcBorders>
            <w:shd w:val="clear" w:color="auto" w:fill="FFFFFF"/>
            <w:vAlign w:val="center"/>
          </w:tcPr>
          <w:p w:rsidR="00CF4905" w:rsidRDefault="00EF60BF" w:rsidP="00EF60BF">
            <w:pPr>
              <w:pStyle w:val="a7"/>
              <w:spacing w:line="240" w:lineRule="auto"/>
              <w:jc w:val="center"/>
            </w:pPr>
            <w:r>
              <w:rPr>
                <w:b/>
                <w:bCs/>
              </w:rPr>
              <w:t>С</w:t>
            </w:r>
            <w:r w:rsidR="00C64527">
              <w:rPr>
                <w:b/>
                <w:bCs/>
              </w:rPr>
              <w:t>ектор</w:t>
            </w:r>
          </w:p>
        </w:tc>
        <w:tc>
          <w:tcPr>
            <w:tcW w:w="3000"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Цільовий показник</w:t>
            </w:r>
          </w:p>
        </w:tc>
        <w:tc>
          <w:tcPr>
            <w:tcW w:w="1282"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Базове значення</w:t>
            </w:r>
          </w:p>
        </w:tc>
        <w:tc>
          <w:tcPr>
            <w:tcW w:w="1075"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ind w:left="220" w:firstLine="20"/>
            </w:pPr>
            <w:r>
              <w:rPr>
                <w:b/>
                <w:bCs/>
              </w:rPr>
              <w:t>Ціль 2028</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tcPr>
          <w:p w:rsidR="00CF4905" w:rsidRDefault="00C64527">
            <w:pPr>
              <w:pStyle w:val="a7"/>
              <w:spacing w:line="240" w:lineRule="auto"/>
              <w:jc w:val="center"/>
            </w:pPr>
            <w:r>
              <w:rPr>
                <w:b/>
                <w:bCs/>
              </w:rPr>
              <w:t>Стратегія</w:t>
            </w:r>
          </w:p>
        </w:tc>
      </w:tr>
      <w:tr w:rsidR="00CF4905" w:rsidTr="00164380">
        <w:trPr>
          <w:trHeight w:hRule="exact" w:val="1705"/>
          <w:jc w:val="center"/>
        </w:trPr>
        <w:tc>
          <w:tcPr>
            <w:tcW w:w="4733" w:type="dxa"/>
            <w:tcBorders>
              <w:top w:val="single" w:sz="4" w:space="0" w:color="auto"/>
              <w:left w:val="single" w:sz="4" w:space="0" w:color="auto"/>
              <w:bottom w:val="single" w:sz="4" w:space="0" w:color="auto"/>
            </w:tcBorders>
            <w:shd w:val="clear" w:color="auto" w:fill="FFFFFF"/>
          </w:tcPr>
          <w:p w:rsidR="00CF4905" w:rsidRDefault="0098187C" w:rsidP="00E1393D">
            <w:pPr>
              <w:pStyle w:val="a7"/>
              <w:spacing w:line="240" w:lineRule="auto"/>
              <w:jc w:val="center"/>
            </w:pPr>
            <w:r w:rsidRPr="0098187C">
              <w:t>Забезпечення закладів загальної середньої освіти засобами навчання та обладнанням в межах впровадження реформи “Нова українська школа"”</w:t>
            </w:r>
          </w:p>
        </w:tc>
        <w:tc>
          <w:tcPr>
            <w:tcW w:w="2750" w:type="dxa"/>
            <w:tcBorders>
              <w:top w:val="single" w:sz="4" w:space="0" w:color="auto"/>
              <w:left w:val="single" w:sz="4" w:space="0" w:color="auto"/>
              <w:bottom w:val="single" w:sz="4" w:space="0" w:color="auto"/>
            </w:tcBorders>
            <w:shd w:val="clear" w:color="auto" w:fill="FFFFFF"/>
          </w:tcPr>
          <w:p w:rsidR="00CF4905" w:rsidRDefault="00164380">
            <w:pPr>
              <w:pStyle w:val="a7"/>
              <w:spacing w:line="240" w:lineRule="auto"/>
            </w:pPr>
            <w:r w:rsidRPr="00744347">
              <w:t xml:space="preserve">Відділ освіти, культури, молоді та спорту </w:t>
            </w:r>
            <w:proofErr w:type="spellStart"/>
            <w:r w:rsidRPr="00744347">
              <w:t>Піщанської</w:t>
            </w:r>
            <w:proofErr w:type="spellEnd"/>
            <w:r w:rsidRPr="00744347">
              <w:t xml:space="preserve"> сільської ради Подільського району Одеської області</w:t>
            </w:r>
          </w:p>
        </w:tc>
        <w:tc>
          <w:tcPr>
            <w:tcW w:w="3000" w:type="dxa"/>
            <w:tcBorders>
              <w:top w:val="single" w:sz="4" w:space="0" w:color="auto"/>
              <w:left w:val="single" w:sz="4" w:space="0" w:color="auto"/>
              <w:bottom w:val="single" w:sz="4" w:space="0" w:color="auto"/>
            </w:tcBorders>
            <w:shd w:val="clear" w:color="auto" w:fill="FFFFFF"/>
            <w:vAlign w:val="bottom"/>
          </w:tcPr>
          <w:p w:rsidR="00164380" w:rsidRDefault="00C64527" w:rsidP="00164380">
            <w:pPr>
              <w:pStyle w:val="a7"/>
              <w:tabs>
                <w:tab w:val="right" w:pos="3144"/>
              </w:tabs>
              <w:spacing w:line="240" w:lineRule="auto"/>
              <w:jc w:val="both"/>
            </w:pPr>
            <w:r>
              <w:t xml:space="preserve"> </w:t>
            </w:r>
            <w:r w:rsidR="00164380">
              <w:t>Кількість закладів освіти, які забезпечено сучасним освітнім</w:t>
            </w:r>
            <w:r w:rsidR="0098187C">
              <w:t xml:space="preserve">             </w:t>
            </w:r>
            <w:r w:rsidR="00164380">
              <w:t>навчальним</w:t>
            </w:r>
          </w:p>
          <w:p w:rsidR="00CF4905" w:rsidRDefault="00164380" w:rsidP="00164380">
            <w:pPr>
              <w:pStyle w:val="a7"/>
              <w:tabs>
                <w:tab w:val="left" w:pos="317"/>
              </w:tabs>
              <w:spacing w:line="276" w:lineRule="auto"/>
              <w:jc w:val="both"/>
            </w:pPr>
            <w:r>
              <w:t>обладнанням</w:t>
            </w:r>
            <w:r>
              <w:tab/>
            </w:r>
          </w:p>
        </w:tc>
        <w:tc>
          <w:tcPr>
            <w:tcW w:w="1282" w:type="dxa"/>
            <w:tcBorders>
              <w:top w:val="single" w:sz="4" w:space="0" w:color="auto"/>
              <w:left w:val="single" w:sz="4" w:space="0" w:color="auto"/>
              <w:bottom w:val="single" w:sz="4" w:space="0" w:color="auto"/>
            </w:tcBorders>
            <w:shd w:val="clear" w:color="auto" w:fill="FFFFFF"/>
          </w:tcPr>
          <w:p w:rsidR="00CF4905" w:rsidRDefault="00164380">
            <w:pPr>
              <w:pStyle w:val="a7"/>
              <w:spacing w:line="240" w:lineRule="auto"/>
              <w:jc w:val="center"/>
            </w:pPr>
            <w:r>
              <w:t>2</w:t>
            </w:r>
          </w:p>
        </w:tc>
        <w:tc>
          <w:tcPr>
            <w:tcW w:w="1075" w:type="dxa"/>
            <w:tcBorders>
              <w:top w:val="single" w:sz="4" w:space="0" w:color="auto"/>
              <w:left w:val="single" w:sz="4" w:space="0" w:color="auto"/>
              <w:bottom w:val="single" w:sz="4" w:space="0" w:color="auto"/>
            </w:tcBorders>
            <w:shd w:val="clear" w:color="auto" w:fill="FFFFFF"/>
          </w:tcPr>
          <w:p w:rsidR="00CF4905" w:rsidRDefault="00164380">
            <w:pPr>
              <w:pStyle w:val="a7"/>
              <w:spacing w:line="240" w:lineRule="auto"/>
              <w:ind w:left="220" w:firstLine="20"/>
            </w:pPr>
            <w:r>
              <w:t>2</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4905" w:rsidRDefault="00164380" w:rsidP="00E1393D">
            <w:pPr>
              <w:pStyle w:val="a7"/>
              <w:spacing w:line="240" w:lineRule="auto"/>
            </w:pPr>
            <w:r w:rsidRPr="00164380">
              <w:t>Державна стратегія регіонального розвитку на 2021-2027 роки</w:t>
            </w:r>
          </w:p>
        </w:tc>
      </w:tr>
    </w:tbl>
    <w:p w:rsidR="00E1393D" w:rsidRDefault="00E1393D">
      <w:pPr>
        <w:pStyle w:val="11"/>
        <w:ind w:firstLine="0"/>
      </w:pPr>
    </w:p>
    <w:p w:rsidR="00CF4905" w:rsidRDefault="00C64527">
      <w:pPr>
        <w:pStyle w:val="11"/>
        <w:ind w:firstLine="0"/>
      </w:pPr>
      <w:r>
        <w:t>Г</w:t>
      </w:r>
      <w:r w:rsidR="00E1393D">
        <w:t xml:space="preserve">алузь </w:t>
      </w:r>
      <w:r>
        <w:t xml:space="preserve">для публічного інвестування - </w:t>
      </w:r>
      <w:r>
        <w:rPr>
          <w:b/>
          <w:bCs/>
        </w:rPr>
        <w:t>Соціальна сфера</w:t>
      </w:r>
    </w:p>
    <w:p w:rsidR="00E1393D" w:rsidRPr="0009753B" w:rsidRDefault="00E1393D" w:rsidP="00E1393D">
      <w:pPr>
        <w:pStyle w:val="11"/>
        <w:spacing w:after="360"/>
        <w:ind w:firstLine="0"/>
      </w:pPr>
      <w:r w:rsidRPr="0009753B">
        <w:t xml:space="preserve">Головний розпорядник відповідальний за галузь (сектор) для публічного інвестування – </w:t>
      </w:r>
      <w:proofErr w:type="spellStart"/>
      <w:r w:rsidRPr="0009753B">
        <w:t>Піщанська</w:t>
      </w:r>
      <w:proofErr w:type="spellEnd"/>
      <w:r w:rsidRPr="0009753B">
        <w:t xml:space="preserve"> сільська рада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38"/>
        <w:gridCol w:w="2520"/>
        <w:gridCol w:w="3062"/>
        <w:gridCol w:w="1440"/>
        <w:gridCol w:w="1080"/>
        <w:gridCol w:w="2294"/>
      </w:tblGrid>
      <w:tr w:rsidR="00CF4905">
        <w:trPr>
          <w:trHeight w:hRule="exact" w:val="749"/>
          <w:jc w:val="center"/>
        </w:trPr>
        <w:tc>
          <w:tcPr>
            <w:tcW w:w="4738"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Напрям</w:t>
            </w:r>
          </w:p>
        </w:tc>
        <w:tc>
          <w:tcPr>
            <w:tcW w:w="2520" w:type="dxa"/>
            <w:tcBorders>
              <w:top w:val="single" w:sz="4" w:space="0" w:color="auto"/>
              <w:left w:val="single" w:sz="4" w:space="0" w:color="auto"/>
              <w:bottom w:val="single" w:sz="4" w:space="0" w:color="auto"/>
            </w:tcBorders>
            <w:shd w:val="clear" w:color="auto" w:fill="FFFFFF"/>
            <w:vAlign w:val="center"/>
          </w:tcPr>
          <w:p w:rsidR="00CF4905" w:rsidRDefault="00EF60BF">
            <w:pPr>
              <w:pStyle w:val="a7"/>
              <w:spacing w:line="240" w:lineRule="auto"/>
              <w:jc w:val="center"/>
            </w:pPr>
            <w:r>
              <w:rPr>
                <w:b/>
                <w:bCs/>
              </w:rPr>
              <w:t>С</w:t>
            </w:r>
            <w:r w:rsidR="00C64527">
              <w:rPr>
                <w:b/>
                <w:bCs/>
              </w:rPr>
              <w:t>ектор</w:t>
            </w:r>
          </w:p>
        </w:tc>
        <w:tc>
          <w:tcPr>
            <w:tcW w:w="3062"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Цільовий показник</w:t>
            </w:r>
          </w:p>
        </w:tc>
        <w:tc>
          <w:tcPr>
            <w:tcW w:w="1440"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Базове значення</w:t>
            </w:r>
          </w:p>
        </w:tc>
        <w:tc>
          <w:tcPr>
            <w:tcW w:w="1080"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Ціль 2028</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CF4905" w:rsidRDefault="00C64527">
            <w:pPr>
              <w:pStyle w:val="a7"/>
              <w:spacing w:line="240" w:lineRule="auto"/>
              <w:ind w:firstLine="500"/>
            </w:pPr>
            <w:r>
              <w:rPr>
                <w:b/>
                <w:bCs/>
              </w:rPr>
              <w:t>Стратегія</w:t>
            </w:r>
          </w:p>
        </w:tc>
      </w:tr>
      <w:tr w:rsidR="00E1393D" w:rsidTr="004C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2"/>
          <w:jc w:val="center"/>
        </w:trPr>
        <w:tc>
          <w:tcPr>
            <w:tcW w:w="4738" w:type="dxa"/>
            <w:shd w:val="clear" w:color="auto" w:fill="FFFFFF"/>
            <w:vAlign w:val="bottom"/>
          </w:tcPr>
          <w:p w:rsidR="00E1393D" w:rsidRDefault="00E1393D" w:rsidP="00EF60BF">
            <w:pPr>
              <w:pStyle w:val="a7"/>
              <w:tabs>
                <w:tab w:val="left" w:pos="2429"/>
                <w:tab w:val="left" w:pos="4003"/>
              </w:tabs>
              <w:spacing w:line="276" w:lineRule="auto"/>
              <w:jc w:val="center"/>
            </w:pPr>
            <w:r>
              <w:t>Забезпечення житлом дітей-сиріт та дітей, позбавлених батьківського піклування, осіб та молоді з їх числа</w:t>
            </w:r>
          </w:p>
          <w:p w:rsidR="00E1393D" w:rsidRDefault="00E1393D" w:rsidP="00EF60BF">
            <w:pPr>
              <w:pStyle w:val="a7"/>
              <w:spacing w:line="276" w:lineRule="auto"/>
              <w:jc w:val="center"/>
            </w:pPr>
          </w:p>
        </w:tc>
        <w:tc>
          <w:tcPr>
            <w:tcW w:w="2520" w:type="dxa"/>
            <w:shd w:val="clear" w:color="auto" w:fill="FFFFFF"/>
          </w:tcPr>
          <w:p w:rsidR="00E1393D" w:rsidRDefault="00EF60BF" w:rsidP="00EF60BF">
            <w:pPr>
              <w:pStyle w:val="a7"/>
              <w:spacing w:line="240" w:lineRule="auto"/>
              <w:jc w:val="center"/>
            </w:pPr>
            <w:proofErr w:type="spellStart"/>
            <w:r>
              <w:t>Піщанська</w:t>
            </w:r>
            <w:proofErr w:type="spellEnd"/>
            <w:r>
              <w:t xml:space="preserve"> сільська рада</w:t>
            </w:r>
          </w:p>
        </w:tc>
        <w:tc>
          <w:tcPr>
            <w:tcW w:w="3062" w:type="dxa"/>
            <w:shd w:val="clear" w:color="auto" w:fill="FFFFFF"/>
          </w:tcPr>
          <w:p w:rsidR="00E1393D" w:rsidRDefault="00E1393D" w:rsidP="00EF60BF">
            <w:pPr>
              <w:pStyle w:val="a7"/>
              <w:spacing w:line="240" w:lineRule="auto"/>
              <w:jc w:val="center"/>
            </w:pPr>
            <w:r>
              <w:t>Кількість придбаних будинків</w:t>
            </w:r>
          </w:p>
        </w:tc>
        <w:tc>
          <w:tcPr>
            <w:tcW w:w="1440" w:type="dxa"/>
            <w:shd w:val="clear" w:color="auto" w:fill="FFFFFF"/>
          </w:tcPr>
          <w:p w:rsidR="00E1393D" w:rsidRDefault="00E1393D" w:rsidP="00EF60BF">
            <w:pPr>
              <w:pStyle w:val="a7"/>
              <w:spacing w:line="240" w:lineRule="auto"/>
              <w:jc w:val="center"/>
            </w:pPr>
            <w:r>
              <w:t>1</w:t>
            </w:r>
          </w:p>
        </w:tc>
        <w:tc>
          <w:tcPr>
            <w:tcW w:w="1080" w:type="dxa"/>
            <w:shd w:val="clear" w:color="auto" w:fill="FFFFFF"/>
          </w:tcPr>
          <w:p w:rsidR="00E1393D" w:rsidRDefault="00E1393D" w:rsidP="00EF60BF">
            <w:pPr>
              <w:pStyle w:val="a7"/>
              <w:spacing w:line="240" w:lineRule="auto"/>
              <w:jc w:val="center"/>
            </w:pPr>
            <w:r>
              <w:t>3</w:t>
            </w:r>
          </w:p>
        </w:tc>
        <w:tc>
          <w:tcPr>
            <w:tcW w:w="2294" w:type="dxa"/>
            <w:shd w:val="clear" w:color="auto" w:fill="FFFFFF"/>
            <w:vAlign w:val="bottom"/>
          </w:tcPr>
          <w:p w:rsidR="00E1393D" w:rsidRDefault="00E1393D" w:rsidP="00EF60BF">
            <w:pPr>
              <w:pStyle w:val="a7"/>
              <w:tabs>
                <w:tab w:val="left" w:pos="1354"/>
              </w:tabs>
              <w:spacing w:line="276" w:lineRule="auto"/>
              <w:jc w:val="center"/>
            </w:pPr>
            <w:r>
              <w:t>Стратегія забезпечення права</w:t>
            </w:r>
            <w:r>
              <w:tab/>
              <w:t>кожної</w:t>
            </w:r>
          </w:p>
          <w:p w:rsidR="00E1393D" w:rsidRDefault="00E1393D" w:rsidP="00EF60BF">
            <w:pPr>
              <w:pStyle w:val="a7"/>
              <w:spacing w:line="276" w:lineRule="auto"/>
              <w:jc w:val="center"/>
            </w:pPr>
            <w:r>
              <w:t>дитини в Україні на 2024</w:t>
            </w:r>
            <w:r w:rsidR="004C482C">
              <w:t>-</w:t>
            </w:r>
            <w:r>
              <w:softHyphen/>
              <w:t>2028 роки</w:t>
            </w:r>
          </w:p>
        </w:tc>
      </w:tr>
    </w:tbl>
    <w:p w:rsidR="00CF4905" w:rsidRDefault="00CF4905">
      <w:pPr>
        <w:spacing w:line="1" w:lineRule="exact"/>
        <w:rPr>
          <w:sz w:val="2"/>
          <w:szCs w:val="2"/>
        </w:rPr>
      </w:pPr>
    </w:p>
    <w:sectPr w:rsidR="00CF4905">
      <w:headerReference w:type="default" r:id="rId10"/>
      <w:pgSz w:w="16840" w:h="11900" w:orient="landscape"/>
      <w:pgMar w:top="1007" w:right="669" w:bottom="871" w:left="677" w:header="0" w:footer="44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DE" w:rsidRDefault="007134DE">
      <w:r>
        <w:separator/>
      </w:r>
    </w:p>
  </w:endnote>
  <w:endnote w:type="continuationSeparator" w:id="0">
    <w:p w:rsidR="007134DE" w:rsidRDefault="0071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DE" w:rsidRDefault="007134DE"/>
  </w:footnote>
  <w:footnote w:type="continuationSeparator" w:id="0">
    <w:p w:rsidR="007134DE" w:rsidRDefault="007134D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27" w:rsidRDefault="00C64527">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27" w:rsidRPr="00F1664E" w:rsidRDefault="00C64527" w:rsidP="00F1664E">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27" w:rsidRDefault="00C64527">
    <w:pPr>
      <w:spacing w:line="1" w:lineRule="exact"/>
    </w:pPr>
    <w:r>
      <w:rPr>
        <w:noProof/>
        <w:lang w:val="ru-RU" w:eastAsia="ru-RU" w:bidi="ar-SA"/>
      </w:rPr>
      <mc:AlternateContent>
        <mc:Choice Requires="wps">
          <w:drawing>
            <wp:anchor distT="0" distB="0" distL="0" distR="0" simplePos="0" relativeHeight="62914694" behindDoc="1" locked="0" layoutInCell="1" allowOverlap="1">
              <wp:simplePos x="0" y="0"/>
              <wp:positionH relativeFrom="page">
                <wp:posOffset>5330825</wp:posOffset>
              </wp:positionH>
              <wp:positionV relativeFrom="page">
                <wp:posOffset>353060</wp:posOffset>
              </wp:positionV>
              <wp:extent cx="11557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C64527" w:rsidRDefault="00C64527">
                          <w:pPr>
                            <w:pStyle w:val="a9"/>
                          </w:pPr>
                        </w:p>
                        <w:p w:rsidR="00EF60BF" w:rsidRDefault="00EF60BF">
                          <w:pPr>
                            <w:pStyle w:val="a9"/>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19.75pt;margin-top:27.8pt;width:9.1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" filled="f" stroked="f">
              <v:textbox style="mso-fit-shape-to-text:t" inset="0,0,0,0">
                <w:txbxContent>
                  <w:p w:rsidR="00C64527" w:rsidRDefault="00C64527">
                    <w:pPr>
                      <w:pStyle w:val="a9"/>
                    </w:pPr>
                  </w:p>
                  <w:p w:rsidR="00EF60BF" w:rsidRDefault="00EF60BF">
                    <w:pPr>
                      <w:pStyle w:val="a9"/>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F4DD7"/>
    <w:multiLevelType w:val="multilevel"/>
    <w:tmpl w:val="11425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05"/>
    <w:rsid w:val="0009753B"/>
    <w:rsid w:val="00164380"/>
    <w:rsid w:val="00194020"/>
    <w:rsid w:val="002F2253"/>
    <w:rsid w:val="004734F2"/>
    <w:rsid w:val="004C482C"/>
    <w:rsid w:val="005C30C5"/>
    <w:rsid w:val="007134DE"/>
    <w:rsid w:val="0072063F"/>
    <w:rsid w:val="007243F7"/>
    <w:rsid w:val="00744347"/>
    <w:rsid w:val="007671FA"/>
    <w:rsid w:val="00801A28"/>
    <w:rsid w:val="00862F28"/>
    <w:rsid w:val="00937CD0"/>
    <w:rsid w:val="0098187C"/>
    <w:rsid w:val="00C64527"/>
    <w:rsid w:val="00CA779F"/>
    <w:rsid w:val="00CF4905"/>
    <w:rsid w:val="00E1393D"/>
    <w:rsid w:val="00EF60BF"/>
    <w:rsid w:val="00F1664E"/>
    <w:rsid w:val="00FA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D733F"/>
  <w15:docId w15:val="{B84130D6-D426-4728-A20A-1CB97C66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0">
    <w:name w:val="Заголовок №1"/>
    <w:basedOn w:val="a"/>
    <w:link w:val="1"/>
    <w:pPr>
      <w:spacing w:before="140" w:after="36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sz w:val="28"/>
      <w:szCs w:val="28"/>
    </w:rPr>
  </w:style>
  <w:style w:type="paragraph" w:customStyle="1" w:styleId="a7">
    <w:name w:val="Другое"/>
    <w:basedOn w:val="a"/>
    <w:link w:val="a6"/>
    <w:pPr>
      <w:spacing w:line="259" w:lineRule="auto"/>
    </w:pPr>
    <w:rPr>
      <w:rFonts w:ascii="Times New Roman" w:eastAsia="Times New Roman" w:hAnsi="Times New Roman" w:cs="Times New Roman"/>
      <w:sz w:val="28"/>
      <w:szCs w:val="28"/>
    </w:rPr>
  </w:style>
  <w:style w:type="paragraph" w:customStyle="1" w:styleId="a9">
    <w:name w:val="Колонтитул"/>
    <w:basedOn w:val="a"/>
    <w:link w:val="a8"/>
    <w:rPr>
      <w:rFonts w:ascii="Times New Roman" w:eastAsia="Times New Roman" w:hAnsi="Times New Roman" w:cs="Times New Roman"/>
      <w:sz w:val="22"/>
      <w:szCs w:val="22"/>
    </w:rPr>
  </w:style>
  <w:style w:type="paragraph" w:styleId="aa">
    <w:name w:val="header"/>
    <w:basedOn w:val="a"/>
    <w:link w:val="ab"/>
    <w:uiPriority w:val="99"/>
    <w:unhideWhenUsed/>
    <w:rsid w:val="00EF60BF"/>
    <w:pPr>
      <w:tabs>
        <w:tab w:val="center" w:pos="4677"/>
        <w:tab w:val="right" w:pos="9355"/>
      </w:tabs>
    </w:pPr>
  </w:style>
  <w:style w:type="character" w:customStyle="1" w:styleId="ab">
    <w:name w:val="Верхний колонтитул Знак"/>
    <w:basedOn w:val="a0"/>
    <w:link w:val="aa"/>
    <w:uiPriority w:val="99"/>
    <w:rsid w:val="00EF60BF"/>
    <w:rPr>
      <w:color w:val="000000"/>
    </w:rPr>
  </w:style>
  <w:style w:type="paragraph" w:styleId="ac">
    <w:name w:val="footer"/>
    <w:basedOn w:val="a"/>
    <w:link w:val="ad"/>
    <w:uiPriority w:val="99"/>
    <w:unhideWhenUsed/>
    <w:rsid w:val="00EF60BF"/>
    <w:pPr>
      <w:tabs>
        <w:tab w:val="center" w:pos="4677"/>
        <w:tab w:val="right" w:pos="9355"/>
      </w:tabs>
    </w:pPr>
  </w:style>
  <w:style w:type="character" w:customStyle="1" w:styleId="ad">
    <w:name w:val="Нижний колонтитул Знак"/>
    <w:basedOn w:val="a0"/>
    <w:link w:val="ac"/>
    <w:uiPriority w:val="99"/>
    <w:rsid w:val="00EF60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9672-9A59-4871-BE9D-7FC5D1E4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cp:revision>
  <dcterms:created xsi:type="dcterms:W3CDTF">2025-08-11T10:11:00Z</dcterms:created>
  <dcterms:modified xsi:type="dcterms:W3CDTF">2025-08-14T13:57:00Z</dcterms:modified>
</cp:coreProperties>
</file>