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19" w:rsidRDefault="00F240E8" w:rsidP="00093A19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  <w:r w:rsidR="00396587" w:rsidRPr="00396587">
        <w:rPr>
          <w:sz w:val="18"/>
          <w:szCs w:val="18"/>
        </w:rPr>
        <w:t xml:space="preserve">                                                                                         </w:t>
      </w:r>
      <w:r w:rsidR="00396587">
        <w:rPr>
          <w:sz w:val="18"/>
          <w:szCs w:val="18"/>
        </w:rPr>
        <w:t xml:space="preserve">                   </w:t>
      </w:r>
      <w:r w:rsidR="00396587" w:rsidRPr="00396587">
        <w:rPr>
          <w:sz w:val="18"/>
          <w:szCs w:val="18"/>
        </w:rPr>
        <w:t xml:space="preserve"> </w:t>
      </w:r>
    </w:p>
    <w:p w:rsidR="00093A19" w:rsidRDefault="00093A19" w:rsidP="00093A19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50760">
        <w:rPr>
          <w:sz w:val="24"/>
          <w:szCs w:val="24"/>
        </w:rPr>
        <w:t xml:space="preserve">                      до</w:t>
      </w:r>
      <w:r>
        <w:rPr>
          <w:sz w:val="24"/>
          <w:szCs w:val="24"/>
        </w:rPr>
        <w:t xml:space="preserve"> </w:t>
      </w:r>
      <w:r w:rsidRPr="0023174A">
        <w:rPr>
          <w:sz w:val="24"/>
          <w:szCs w:val="24"/>
        </w:rPr>
        <w:t xml:space="preserve">рішення </w:t>
      </w:r>
      <w:proofErr w:type="spellStart"/>
      <w:r w:rsidRPr="0023174A">
        <w:rPr>
          <w:sz w:val="24"/>
          <w:szCs w:val="24"/>
        </w:rPr>
        <w:t>Піщанської</w:t>
      </w:r>
      <w:proofErr w:type="spellEnd"/>
      <w:r>
        <w:rPr>
          <w:sz w:val="24"/>
          <w:szCs w:val="24"/>
        </w:rPr>
        <w:t xml:space="preserve">   </w:t>
      </w:r>
      <w:r w:rsidRPr="0023174A">
        <w:rPr>
          <w:sz w:val="24"/>
          <w:szCs w:val="24"/>
        </w:rPr>
        <w:t xml:space="preserve">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23174A">
        <w:rPr>
          <w:sz w:val="24"/>
          <w:szCs w:val="24"/>
        </w:rPr>
        <w:t xml:space="preserve">сільської  ради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 w:rsidR="00B03899">
        <w:rPr>
          <w:sz w:val="24"/>
          <w:szCs w:val="24"/>
        </w:rPr>
        <w:t xml:space="preserve">        №   </w:t>
      </w:r>
      <w:r w:rsidRPr="0023174A">
        <w:rPr>
          <w:sz w:val="24"/>
          <w:szCs w:val="24"/>
        </w:rPr>
        <w:t xml:space="preserve"> - VІІІ від </w:t>
      </w:r>
      <w:r w:rsidR="00B03899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червня</w:t>
      </w:r>
      <w:r w:rsidRPr="0023174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23174A">
        <w:rPr>
          <w:sz w:val="24"/>
          <w:szCs w:val="24"/>
        </w:rPr>
        <w:t>р.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</w:p>
    <w:p w:rsidR="00E719BD" w:rsidRDefault="00E719BD" w:rsidP="00093A19">
      <w:pPr>
        <w:spacing w:before="76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0D6791" w:rsidTr="007C47AA">
        <w:trPr>
          <w:trHeight w:val="300"/>
        </w:trPr>
        <w:tc>
          <w:tcPr>
            <w:tcW w:w="876" w:type="dxa"/>
          </w:tcPr>
          <w:p w:rsidR="000D6791" w:rsidRDefault="000D6791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46.21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0D6791" w:rsidRDefault="000D6791" w:rsidP="0012416E">
            <w:pPr>
              <w:pStyle w:val="TableParagraph"/>
              <w:spacing w:before="25"/>
              <w:rPr>
                <w:sz w:val="21"/>
              </w:rPr>
            </w:pPr>
            <w:r w:rsidRPr="008F4929">
              <w:rPr>
                <w:sz w:val="21"/>
                <w:szCs w:val="21"/>
              </w:rPr>
              <w:t>Оптова торгівля зерном, необробленим тютюном, насінням і кормами для</w:t>
            </w:r>
            <w:r>
              <w:rPr>
                <w:sz w:val="21"/>
                <w:szCs w:val="21"/>
              </w:rPr>
              <w:t xml:space="preserve"> тварин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D6791" w:rsidRPr="00B12672" w:rsidRDefault="000D6791" w:rsidP="0012416E">
            <w:pPr>
              <w:jc w:val="center"/>
            </w:pPr>
            <w:r>
              <w:t>16</w:t>
            </w:r>
          </w:p>
        </w:tc>
      </w:tr>
      <w:tr w:rsidR="008F4929">
        <w:trPr>
          <w:trHeight w:val="30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2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543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2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533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0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774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30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  <w:tr w:rsidR="008F4929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29" w:rsidRDefault="008F4929" w:rsidP="008F4929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8F4929">
        <w:trPr>
          <w:trHeight w:val="291"/>
        </w:trPr>
        <w:tc>
          <w:tcPr>
            <w:tcW w:w="876" w:type="dxa"/>
          </w:tcPr>
          <w:p w:rsidR="008F4929" w:rsidRDefault="008F4929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47.11</w:t>
            </w:r>
          </w:p>
        </w:tc>
        <w:tc>
          <w:tcPr>
            <w:tcW w:w="7072" w:type="dxa"/>
          </w:tcPr>
          <w:p w:rsidR="008F4929" w:rsidRDefault="008F4929" w:rsidP="0012416E">
            <w:pPr>
              <w:pStyle w:val="TableParagraph"/>
              <w:rPr>
                <w:sz w:val="21"/>
              </w:rPr>
            </w:pPr>
            <w:r w:rsidRPr="008F4929">
              <w:rPr>
                <w:sz w:val="21"/>
              </w:rPr>
              <w:t>Роздрібна торгівля в 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1526" w:type="dxa"/>
          </w:tcPr>
          <w:p w:rsidR="008F4929" w:rsidRPr="003932C9" w:rsidRDefault="008F4929" w:rsidP="0012416E">
            <w:pPr>
              <w:jc w:val="center"/>
            </w:pPr>
            <w:r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093A19"/>
    <w:rsid w:val="000D6791"/>
    <w:rsid w:val="00110F39"/>
    <w:rsid w:val="0012416E"/>
    <w:rsid w:val="00125165"/>
    <w:rsid w:val="00130CAA"/>
    <w:rsid w:val="00374B22"/>
    <w:rsid w:val="00377156"/>
    <w:rsid w:val="003907C4"/>
    <w:rsid w:val="00396587"/>
    <w:rsid w:val="005F50F9"/>
    <w:rsid w:val="006831C5"/>
    <w:rsid w:val="007C47AA"/>
    <w:rsid w:val="00800C63"/>
    <w:rsid w:val="008D50B7"/>
    <w:rsid w:val="008F4929"/>
    <w:rsid w:val="00977BC1"/>
    <w:rsid w:val="00994AB7"/>
    <w:rsid w:val="009A5513"/>
    <w:rsid w:val="00A25DFC"/>
    <w:rsid w:val="00A94F14"/>
    <w:rsid w:val="00B03899"/>
    <w:rsid w:val="00B50760"/>
    <w:rsid w:val="00B63BAC"/>
    <w:rsid w:val="00E719BD"/>
    <w:rsid w:val="00F240E8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6979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 Spacing"/>
    <w:link w:val="a8"/>
    <w:qFormat/>
    <w:rsid w:val="008F4929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  <w:style w:type="character" w:customStyle="1" w:styleId="a8">
    <w:name w:val="Без интервала Знак"/>
    <w:link w:val="a7"/>
    <w:locked/>
    <w:rsid w:val="008F4929"/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4</cp:revision>
  <cp:lastPrinted>2022-06-22T09:08:00Z</cp:lastPrinted>
  <dcterms:created xsi:type="dcterms:W3CDTF">2024-07-29T06:52:00Z</dcterms:created>
  <dcterms:modified xsi:type="dcterms:W3CDTF">2024-10-10T08:00:00Z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