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FA1A87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74112">
        <w:rPr>
          <w:sz w:val="24"/>
          <w:szCs w:val="24"/>
        </w:rPr>
        <w:t>до</w:t>
      </w:r>
      <w:r w:rsidR="00D337AF">
        <w:rPr>
          <w:sz w:val="24"/>
          <w:szCs w:val="24"/>
        </w:rPr>
        <w:t xml:space="preserve"> </w:t>
      </w:r>
      <w:r w:rsidR="0023174A" w:rsidRPr="0023174A">
        <w:rPr>
          <w:sz w:val="24"/>
          <w:szCs w:val="24"/>
        </w:rPr>
        <w:t xml:space="preserve">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FA1A87">
        <w:rPr>
          <w:sz w:val="24"/>
          <w:szCs w:val="24"/>
        </w:rPr>
        <w:t xml:space="preserve">   </w:t>
      </w:r>
      <w:r w:rsidR="0023174A" w:rsidRPr="0023174A">
        <w:rPr>
          <w:sz w:val="24"/>
          <w:szCs w:val="24"/>
        </w:rPr>
        <w:t xml:space="preserve"> </w:t>
      </w:r>
    </w:p>
    <w:p w:rsidR="0023174A" w:rsidRPr="0023174A" w:rsidRDefault="00FA1A87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 № </w:t>
      </w:r>
      <w:r w:rsidR="008532AB">
        <w:rPr>
          <w:sz w:val="24"/>
          <w:szCs w:val="24"/>
        </w:rPr>
        <w:t xml:space="preserve">  </w:t>
      </w:r>
      <w:r w:rsidRPr="0023174A">
        <w:rPr>
          <w:sz w:val="24"/>
          <w:szCs w:val="24"/>
        </w:rPr>
        <w:t xml:space="preserve"> - VІІІ від </w:t>
      </w:r>
      <w:r w:rsidR="008532AB">
        <w:rPr>
          <w:sz w:val="24"/>
          <w:szCs w:val="24"/>
        </w:rPr>
        <w:t xml:space="preserve">  </w:t>
      </w:r>
      <w:bookmarkStart w:id="0" w:name="_GoBack"/>
      <w:bookmarkEnd w:id="0"/>
      <w:r w:rsidR="00DC6931"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D337AF">
        <w:rPr>
          <w:sz w:val="24"/>
          <w:szCs w:val="24"/>
        </w:rPr>
        <w:t>4</w:t>
      </w:r>
      <w:r w:rsidRPr="0023174A">
        <w:rPr>
          <w:sz w:val="24"/>
          <w:szCs w:val="24"/>
        </w:rPr>
        <w:t>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proofErr w:type="spellStart"/>
      <w:r w:rsidR="00FA1A87">
        <w:rPr>
          <w:sz w:val="24"/>
        </w:rPr>
        <w:t>Піщанської</w:t>
      </w:r>
      <w:proofErr w:type="spellEnd"/>
      <w:r w:rsidR="00FA1A87">
        <w:rPr>
          <w:sz w:val="24"/>
        </w:rPr>
        <w:t xml:space="preserve"> сільської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</w:t>
      </w:r>
      <w:r w:rsidR="00FA1A87">
        <w:t>визначених підпунктом</w:t>
      </w:r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 xml:space="preserve">в) юридичними особами, які уповноважуються </w:t>
      </w:r>
      <w:proofErr w:type="spellStart"/>
      <w:r w:rsidR="007C3676">
        <w:t>Піщанською</w:t>
      </w:r>
      <w:proofErr w:type="spellEnd"/>
      <w:r w:rsidR="007C3676">
        <w:t xml:space="preserve"> сільською </w:t>
      </w:r>
      <w:r>
        <w:t>радою</w:t>
      </w:r>
      <w:r w:rsidR="007C3676">
        <w:t xml:space="preserve"> Подільського району</w:t>
      </w:r>
      <w:r>
        <w:t xml:space="preserve">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23174A"/>
    <w:rsid w:val="00264FCC"/>
    <w:rsid w:val="003624E6"/>
    <w:rsid w:val="0037668C"/>
    <w:rsid w:val="005F50E7"/>
    <w:rsid w:val="006A4D9D"/>
    <w:rsid w:val="007C3676"/>
    <w:rsid w:val="008532AB"/>
    <w:rsid w:val="00C46377"/>
    <w:rsid w:val="00C62BD1"/>
    <w:rsid w:val="00C74112"/>
    <w:rsid w:val="00CE43F0"/>
    <w:rsid w:val="00D337AF"/>
    <w:rsid w:val="00DC693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DEDC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Алексей</cp:lastModifiedBy>
  <cp:revision>4</cp:revision>
  <cp:lastPrinted>2022-06-22T09:05:00Z</cp:lastPrinted>
  <dcterms:created xsi:type="dcterms:W3CDTF">2024-07-29T06:52:00Z</dcterms:created>
  <dcterms:modified xsi:type="dcterms:W3CDTF">2024-10-10T07:59:00Z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