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76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2021 року</w:t>
      </w:r>
      <w:r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с.Піщана                                №</w:t>
      </w:r>
      <w:r w:rsidR="00676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1F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0" w:name="_GoBack"/>
      <w:bookmarkEnd w:id="0"/>
      <w:r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D1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3765"/>
      </w:tblGrid>
      <w:tr w:rsidR="002D1448" w:rsidRPr="00505B87" w:rsidTr="002D1448">
        <w:trPr>
          <w:trHeight w:val="1590"/>
        </w:trPr>
        <w:tc>
          <w:tcPr>
            <w:tcW w:w="3765" w:type="dxa"/>
          </w:tcPr>
          <w:p w:rsidR="002D1448" w:rsidRPr="00505B87" w:rsidRDefault="002D1448" w:rsidP="002D1448">
            <w:pPr>
              <w:tabs>
                <w:tab w:val="center" w:pos="4915"/>
                <w:tab w:val="left" w:pos="80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5B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бюджет Піщанської сільської територіальної громади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505B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 </w:t>
            </w:r>
          </w:p>
          <w:p w:rsidR="002D1448" w:rsidRPr="00505B87" w:rsidRDefault="002D1448" w:rsidP="002D1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505B8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2D1448" w:rsidRPr="00505B87" w:rsidRDefault="002D1448" w:rsidP="002D1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5B8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2D1448" w:rsidRPr="00505B87" w:rsidRDefault="002D1448" w:rsidP="002D1448">
            <w:pPr>
              <w:tabs>
                <w:tab w:val="center" w:pos="4915"/>
                <w:tab w:val="left" w:pos="80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D028F" w:rsidRPr="00676E2B" w:rsidRDefault="00505B87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D028F" w:rsidRPr="00676E2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Бюджетним кодексом України, відповідно до статті 26 Закону України “Про місцеве самоврядування в Україні” </w:t>
      </w:r>
      <w:r w:rsidR="00F340B8" w:rsidRPr="00676E2B">
        <w:rPr>
          <w:rFonts w:ascii="Times New Roman" w:hAnsi="Times New Roman" w:cs="Times New Roman"/>
          <w:sz w:val="28"/>
          <w:szCs w:val="28"/>
          <w:lang w:val="uk-UA"/>
        </w:rPr>
        <w:t>Піщанська сільська рада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ВИРІШИЛА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2D144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доходи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Pr="00505B87">
        <w:rPr>
          <w:rFonts w:ascii="Times New Roman" w:hAnsi="Times New Roman" w:cs="Times New Roman"/>
          <w:sz w:val="28"/>
          <w:szCs w:val="28"/>
        </w:rPr>
        <w:t> 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307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875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доходи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="00B64D26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423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773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доходи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Піщанської сільської територіальної </w:t>
      </w:r>
      <w:proofErr w:type="gramStart"/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громади 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84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1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307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875</w:t>
      </w:r>
      <w:r w:rsidR="00126E2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DD2CDD" w:rsidRPr="0050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233</w:t>
      </w:r>
      <w:r w:rsidR="00DD2CDD" w:rsidRPr="0050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773</w:t>
      </w:r>
      <w:r w:rsidR="00DD2CDD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1 074</w:t>
      </w:r>
      <w:r w:rsidR="00DD2CDD" w:rsidRPr="00505B8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="00DD2CDD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7630" w:rsidRDefault="007C392A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профіцит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бюджету Піщанської сільської територіальної громади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7630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B87630">
        <w:rPr>
          <w:rFonts w:ascii="Times New Roman" w:hAnsi="Times New Roman" w:cs="Times New Roman"/>
          <w:sz w:val="28"/>
          <w:szCs w:val="28"/>
          <w:lang w:val="ru-RU"/>
        </w:rPr>
        <w:t xml:space="preserve"> фонду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 xml:space="preserve">190 000,00 </w:t>
      </w:r>
      <w:proofErr w:type="spellStart"/>
      <w:r w:rsidR="00B87630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="00B876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7630" w:rsidRPr="00505B87" w:rsidRDefault="00B87630" w:rsidP="00B876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дефіцит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бюджету Піщанської сільської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фонду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190 000,00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оборотний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залишок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0 000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0,0</w:t>
      </w:r>
      <w:r w:rsidR="0040344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відсотка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пунктом;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резервний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розмірі</w:t>
      </w:r>
      <w:proofErr w:type="spellEnd"/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92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000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0,</w:t>
      </w:r>
      <w:r w:rsidR="007C392A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відсотка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пунктом.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головним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розпорядникам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7C39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розрізі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відповідальних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виконавців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програмами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3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ліміти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головними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розпорядниками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7C39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</w:t>
      </w:r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>різі</w:t>
      </w:r>
      <w:proofErr w:type="spellEnd"/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>додатку</w:t>
      </w:r>
      <w:proofErr w:type="spellEnd"/>
      <w:r w:rsidR="00044A5B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392A" w:rsidRDefault="007C392A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Затвредити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2022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міжбюджетні трансферти згідно з додатком 5 до цього рішення.</w:t>
      </w:r>
    </w:p>
    <w:p w:rsidR="00B87630" w:rsidRPr="00B87630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Затвердити на 2022 рік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6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</w:p>
    <w:p w:rsidR="00BD028F" w:rsidRPr="007C392A" w:rsidRDefault="00B87630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. Дозволити </w:t>
      </w:r>
      <w:r w:rsidR="00E2114E" w:rsidRPr="007C392A">
        <w:rPr>
          <w:rFonts w:ascii="Times New Roman" w:hAnsi="Times New Roman" w:cs="Times New Roman"/>
          <w:sz w:val="28"/>
          <w:szCs w:val="28"/>
          <w:lang w:val="uk-UA"/>
        </w:rPr>
        <w:t>Піщанськ</w:t>
      </w:r>
      <w:r w:rsidR="00D04009" w:rsidRPr="007C392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E2114E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D04009" w:rsidRPr="007C392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E2114E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009" w:rsidRPr="007C392A">
        <w:rPr>
          <w:rFonts w:ascii="Times New Roman" w:hAnsi="Times New Roman" w:cs="Times New Roman"/>
          <w:sz w:val="28"/>
          <w:szCs w:val="28"/>
          <w:lang w:val="uk-UA"/>
        </w:rPr>
        <w:t>раді</w:t>
      </w:r>
      <w:r w:rsidR="00E2114E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>здійснювати в міжсесійний період розподіл та перерозподіл субвенцій, дотацій з Державного бюджету України  обласного, районного, сільського бюджет</w:t>
      </w:r>
      <w:r w:rsidR="00D04009" w:rsidRPr="007C392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 місцевим бюджетам, передбачених бюджету </w:t>
      </w:r>
      <w:r w:rsidR="00E2114E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сільської територіальної громади 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108 Бюджетного кодексу України, та здійснювати фінансування відповідно до нормативних документів, затверджених Кабінетом Міністрів України, що регламентують порядок розподілу та використання субвенцій з Державного бюджету України, з внесенням відповідних змін до розпису доходів і видатків бюджету </w:t>
      </w:r>
      <w:r w:rsidR="00E2114E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Піщанської сільської територіальної громади 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7C392A" w:rsidRPr="007C39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 рік шляхом виданн</w:t>
      </w:r>
      <w:r w:rsidR="00262294" w:rsidRPr="007C392A">
        <w:rPr>
          <w:rFonts w:ascii="Times New Roman" w:hAnsi="Times New Roman" w:cs="Times New Roman"/>
          <w:sz w:val="28"/>
          <w:szCs w:val="28"/>
          <w:lang w:val="uk-UA"/>
        </w:rPr>
        <w:t>я відповідного розпорядження сільського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 голови з </w:t>
      </w:r>
      <w:r w:rsidR="00D04009" w:rsidRPr="007C392A">
        <w:rPr>
          <w:rFonts w:ascii="Times New Roman" w:hAnsi="Times New Roman" w:cs="Times New Roman"/>
          <w:sz w:val="28"/>
          <w:szCs w:val="28"/>
          <w:lang w:val="uk-UA"/>
        </w:rPr>
        <w:t>послідуючим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 xml:space="preserve"> внесенням відповідних змін до рішення про бюджет </w:t>
      </w:r>
      <w:r w:rsidR="00E2114E" w:rsidRPr="007C392A">
        <w:rPr>
          <w:rFonts w:ascii="Times New Roman" w:hAnsi="Times New Roman" w:cs="Times New Roman"/>
          <w:sz w:val="28"/>
          <w:szCs w:val="28"/>
          <w:lang w:val="uk-UA"/>
        </w:rPr>
        <w:t>Піщанської сільської територіальної громади</w:t>
      </w:r>
      <w:r w:rsidR="00BD028F" w:rsidRPr="007C39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Установити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загальному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фонді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 до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належать доходи,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64 Бюджетного кодексу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.2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є надходження,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пунктом 4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15 Бюджетного кодексу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1134" w:rsidRPr="00505B87" w:rsidRDefault="00821134" w:rsidP="00BD02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Установити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є надходження,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статтями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69¹ Бюджетного кодексу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надходження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.2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є надходження,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пунктом 4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15 Бюджетного кодексу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.3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Установити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є надходження,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69¹</w:t>
      </w:r>
      <w:r w:rsidR="00BD028F" w:rsidRPr="00505B87">
        <w:rPr>
          <w:rFonts w:ascii="Times New Roman" w:hAnsi="Times New Roman" w:cs="Times New Roman"/>
          <w:sz w:val="28"/>
          <w:szCs w:val="28"/>
        </w:rPr>
        <w:t> </w:t>
      </w:r>
      <w:r w:rsidR="001F2F92">
        <w:fldChar w:fldCharType="begin"/>
      </w:r>
      <w:r w:rsidR="001F2F92" w:rsidRPr="001F2F92">
        <w:rPr>
          <w:lang w:val="ru-RU"/>
        </w:rPr>
        <w:instrText xml:space="preserve"> </w:instrText>
      </w:r>
      <w:r w:rsidR="001F2F92">
        <w:instrText>HYPERLINK</w:instrText>
      </w:r>
      <w:r w:rsidR="001F2F92" w:rsidRPr="001F2F92">
        <w:rPr>
          <w:lang w:val="ru-RU"/>
        </w:rPr>
        <w:instrText xml:space="preserve"> "</w:instrText>
      </w:r>
      <w:r w:rsidR="001F2F92">
        <w:instrText>http</w:instrText>
      </w:r>
      <w:r w:rsidR="001F2F92" w:rsidRPr="001F2F92">
        <w:rPr>
          <w:lang w:val="ru-RU"/>
        </w:rPr>
        <w:instrText>://</w:instrText>
      </w:r>
      <w:r w:rsidR="001F2F92">
        <w:instrText>zakon</w:instrText>
      </w:r>
      <w:r w:rsidR="001F2F92" w:rsidRPr="001F2F92">
        <w:rPr>
          <w:lang w:val="ru-RU"/>
        </w:rPr>
        <w:instrText>4.</w:instrText>
      </w:r>
      <w:r w:rsidR="001F2F92">
        <w:instrText>rada</w:instrText>
      </w:r>
      <w:r w:rsidR="001F2F92" w:rsidRPr="001F2F92">
        <w:rPr>
          <w:lang w:val="ru-RU"/>
        </w:rPr>
        <w:instrText>.</w:instrText>
      </w:r>
      <w:r w:rsidR="001F2F92">
        <w:instrText>gov</w:instrText>
      </w:r>
      <w:r w:rsidR="001F2F92" w:rsidRPr="001F2F92">
        <w:rPr>
          <w:lang w:val="ru-RU"/>
        </w:rPr>
        <w:instrText>.</w:instrText>
      </w:r>
      <w:r w:rsidR="001F2F92">
        <w:instrText>ua</w:instrText>
      </w:r>
      <w:r w:rsidR="001F2F92" w:rsidRPr="001F2F92">
        <w:rPr>
          <w:lang w:val="ru-RU"/>
        </w:rPr>
        <w:instrText>/</w:instrText>
      </w:r>
      <w:r w:rsidR="001F2F92">
        <w:instrText>laws</w:instrText>
      </w:r>
      <w:r w:rsidR="001F2F92" w:rsidRPr="001F2F92">
        <w:rPr>
          <w:lang w:val="ru-RU"/>
        </w:rPr>
        <w:instrText>/</w:instrText>
      </w:r>
      <w:r w:rsidR="001F2F92">
        <w:instrText>show</w:instrText>
      </w:r>
      <w:r w:rsidR="001F2F92" w:rsidRPr="001F2F92">
        <w:rPr>
          <w:lang w:val="ru-RU"/>
        </w:rPr>
        <w:instrText xml:space="preserve">/2456-17" </w:instrText>
      </w:r>
      <w:r w:rsidR="001F2F92">
        <w:fldChar w:fldCharType="separate"/>
      </w:r>
      <w:r w:rsidR="00BD028F" w:rsidRPr="00505B87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Бюджетного кодексу </w:t>
      </w:r>
      <w:proofErr w:type="spellStart"/>
      <w:r w:rsidR="00BD028F" w:rsidRPr="00505B87">
        <w:rPr>
          <w:rStyle w:val="a3"/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F2F92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Установити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є надходження,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пунктом 10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71</w:t>
      </w:r>
      <w:r w:rsidR="00BD028F" w:rsidRPr="00505B87">
        <w:rPr>
          <w:rFonts w:ascii="Times New Roman" w:hAnsi="Times New Roman" w:cs="Times New Roman"/>
          <w:sz w:val="28"/>
          <w:szCs w:val="28"/>
        </w:rPr>
        <w:t> </w:t>
      </w:r>
      <w:r w:rsidR="001F2F92">
        <w:fldChar w:fldCharType="begin"/>
      </w:r>
      <w:r w:rsidR="001F2F92" w:rsidRPr="001F2F92">
        <w:rPr>
          <w:lang w:val="ru-RU"/>
        </w:rPr>
        <w:instrText xml:space="preserve"> </w:instrText>
      </w:r>
      <w:r w:rsidR="001F2F92">
        <w:instrText>HYPERLINK</w:instrText>
      </w:r>
      <w:r w:rsidR="001F2F92" w:rsidRPr="001F2F92">
        <w:rPr>
          <w:lang w:val="ru-RU"/>
        </w:rPr>
        <w:instrText xml:space="preserve"> "</w:instrText>
      </w:r>
      <w:r w:rsidR="001F2F92">
        <w:instrText>http</w:instrText>
      </w:r>
      <w:r w:rsidR="001F2F92" w:rsidRPr="001F2F92">
        <w:rPr>
          <w:lang w:val="ru-RU"/>
        </w:rPr>
        <w:instrText>://</w:instrText>
      </w:r>
      <w:r w:rsidR="001F2F92">
        <w:instrText>zakon</w:instrText>
      </w:r>
      <w:r w:rsidR="001F2F92" w:rsidRPr="001F2F92">
        <w:rPr>
          <w:lang w:val="ru-RU"/>
        </w:rPr>
        <w:instrText>4.</w:instrText>
      </w:r>
      <w:r w:rsidR="001F2F92">
        <w:instrText>rada</w:instrText>
      </w:r>
      <w:r w:rsidR="001F2F92" w:rsidRPr="001F2F92">
        <w:rPr>
          <w:lang w:val="ru-RU"/>
        </w:rPr>
        <w:instrText>.</w:instrText>
      </w:r>
      <w:r w:rsidR="001F2F92">
        <w:instrText>gov</w:instrText>
      </w:r>
      <w:r w:rsidR="001F2F92" w:rsidRPr="001F2F92">
        <w:rPr>
          <w:lang w:val="ru-RU"/>
        </w:rPr>
        <w:instrText>.</w:instrText>
      </w:r>
      <w:r w:rsidR="001F2F92">
        <w:instrText>ua</w:instrText>
      </w:r>
      <w:r w:rsidR="001F2F92" w:rsidRPr="001F2F92">
        <w:rPr>
          <w:lang w:val="ru-RU"/>
        </w:rPr>
        <w:instrText>/</w:instrText>
      </w:r>
      <w:r w:rsidR="001F2F92">
        <w:instrText>laws</w:instrText>
      </w:r>
      <w:r w:rsidR="001F2F92" w:rsidRPr="001F2F92">
        <w:rPr>
          <w:lang w:val="ru-RU"/>
        </w:rPr>
        <w:instrText>/</w:instrText>
      </w:r>
      <w:r w:rsidR="001F2F92">
        <w:instrText>show</w:instrText>
      </w:r>
      <w:r w:rsidR="001F2F92" w:rsidRPr="001F2F92">
        <w:rPr>
          <w:lang w:val="ru-RU"/>
        </w:rPr>
        <w:instrText xml:space="preserve">/2456-17" </w:instrText>
      </w:r>
      <w:r w:rsidR="001F2F92">
        <w:fldChar w:fldCharType="separate"/>
      </w:r>
      <w:r w:rsidR="00BD028F" w:rsidRPr="00505B87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Бюджетного кодексу </w:t>
      </w:r>
      <w:proofErr w:type="spellStart"/>
      <w:r w:rsidR="00BD028F" w:rsidRPr="00505B87">
        <w:rPr>
          <w:rStyle w:val="a3"/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F2F92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захищених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статей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 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оплата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 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нарахування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плату;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 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медикаментів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перев'язувальних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 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продуктами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 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оплата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енергоносіїв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 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поточні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трансферти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населенню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 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поточні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трансферти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місцевим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бюджетам;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статей 43 та 73 Бюджетного кодексу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Піщанській </w:t>
      </w:r>
      <w:proofErr w:type="spellStart"/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>сільській</w:t>
      </w:r>
      <w:proofErr w:type="spellEnd"/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порядку,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Кабінетом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позики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покриття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тимчасових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касових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розривів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lastRenderedPageBreak/>
        <w:t>сільської ради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забезпеченням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захищених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фонду, в межах поточного бюджетного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казначейського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рахунку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договірних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нарахування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відсотків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цими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коштами з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обов'язковим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поверненням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поточного бюджетного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Головним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розпорядникам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паспортів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45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набрання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.2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коштами </w:t>
      </w:r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результативне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розпорядників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нижчого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одержувачів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бюджетному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.3 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про бюджет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</w:rPr>
        <w:t>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публікації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про бюджет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програмами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за формою,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встановленими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Міністерством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фінансів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до 15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року;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паспортів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триденний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строк з дня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.4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першочерговому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порядку потребу в коштах на оплату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умов оплати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мінімальної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плати;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розрахунків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електричну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теплову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енергію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водовідведення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природний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газ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споживаються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допускаючи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заборгованості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зазначених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.5 Привести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асигнуваннями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чисельність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-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фондом оплати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-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встановленими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асигнуваннями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таким чином,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.6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плату,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преміювання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заохочень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винагород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матеріальну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межах фонду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плати,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кошторисах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планах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.7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індексації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індексацію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грошових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.8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Планувати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стимулюванням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бюджетної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установи, за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обсязі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бюджетними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коштами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обов’язкових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виплат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плати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виплат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стипендій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розрахунків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комунальні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енергоносії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.9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лімітів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енергоносіїв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натуральних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показниках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кожної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установи,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асигнувань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.10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укладання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угод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кожним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видом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енергоносіїв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головним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розпорядником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обґрунтованих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лімітів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енергоспоживання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.11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простроченої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заборгованості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плати, 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спожиті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комунальні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енергоносії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припинити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асигнувань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платежів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фондом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заходами,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пов'язаними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функціонуванням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погашення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заборгованості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.12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взяття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зобов’язань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спеціальним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фондом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винятково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фактичних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надходжень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бюджету.</w:t>
      </w:r>
    </w:p>
    <w:p w:rsidR="00BD028F" w:rsidRPr="00505B87" w:rsidRDefault="00B87630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.13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Передбачати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за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надходжень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погашення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заборгованості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установи з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спеціальним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загальним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фондом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кошторису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забезпечені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частково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забезпечені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видатками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6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.14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укладання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угод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договорів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контрактів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обов'язковою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умовою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lastRenderedPageBreak/>
        <w:t>штрафних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санкцій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суб'єктів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несвоєчасне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зобов'язань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сплати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штрафних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санкцій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.15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тих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стру</w:t>
      </w:r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t>ктурні</w:t>
      </w:r>
      <w:proofErr w:type="spellEnd"/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сільської ради, </w:t>
      </w:r>
      <w:proofErr w:type="spellStart"/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t>депутати</w:t>
      </w:r>
      <w:proofErr w:type="spellEnd"/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сільської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вносять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асигнувань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подавати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поповнення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скорочення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262294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рада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офіційного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висновку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перевиконання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недовиконання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дохідної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фонду, про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залишку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фондів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надходжень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вносить на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постійною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комісією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бюджету,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інвестиційної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по доходах та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видатках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настання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Бюджетним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кодексом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821134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Фінансовому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2294" w:rsidRPr="00505B87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ради</w:t>
      </w:r>
      <w:r w:rsidR="00BD028F"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першочергове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захищених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статтях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611E36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ради </w:t>
      </w:r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наявних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затвердженим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помісячним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розписом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.2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у межах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обсягу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призначень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бюджетною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програмою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спеціальним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фондами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обґрунтованим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поданням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розпорядника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перерозподіл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асигнувань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розписі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кошторисі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розрізі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програмної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типової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відомчої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.3 В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Піщанської сільської територіальної громади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офіційного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висновку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перевиконання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недовиконання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дохідної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фонду, про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залишку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фондів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вносяться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про бюджет, 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бюджетного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обставин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менших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асигнувань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розпорядника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казначейської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Балтському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районі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Одеської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області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планового бюджетного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покривати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обсяги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тимчасових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касових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розривів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r w:rsidR="00E2114E" w:rsidRPr="00505B87">
        <w:rPr>
          <w:rFonts w:ascii="Times New Roman" w:hAnsi="Times New Roman" w:cs="Times New Roman"/>
          <w:sz w:val="28"/>
          <w:szCs w:val="28"/>
          <w:lang w:val="ru-RU"/>
        </w:rPr>
        <w:t>Піщанської сільської територіальної громади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забезпеченням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фонду, в першу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оплату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нарахувань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заробітну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плату,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медикаментів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оплату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енергоносіїв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Балтській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державній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податковій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інспекції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Подільського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податкової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Одеській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області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рекомендувати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вжити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доходами,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встановленими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закріпленими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податковими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органами;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податкової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заборгованості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недоїмки</w:t>
      </w:r>
      <w:proofErr w:type="spellEnd"/>
      <w:proofErr w:type="gramEnd"/>
      <w:r w:rsidRPr="00505B87">
        <w:rPr>
          <w:rFonts w:ascii="Times New Roman" w:hAnsi="Times New Roman" w:cs="Times New Roman"/>
          <w:sz w:val="28"/>
          <w:szCs w:val="28"/>
          <w:lang w:val="ru-RU"/>
        </w:rPr>
        <w:t>) по</w:t>
      </w:r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видах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обов’язкових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платежів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).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Дане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набирає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чинності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з 1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року і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підлягає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оприлюдненню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десятиденний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строк з дня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четвертої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28 Бюджетного кодексу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Pr="00505B87">
        <w:rPr>
          <w:rFonts w:ascii="Times New Roman" w:hAnsi="Times New Roman" w:cs="Times New Roman"/>
          <w:sz w:val="28"/>
          <w:szCs w:val="28"/>
        </w:rPr>
        <w:t> </w:t>
      </w:r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proofErr w:type="gram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, 2, 3, 4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, 5, 6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5B87">
        <w:rPr>
          <w:rFonts w:ascii="Times New Roman" w:hAnsi="Times New Roman" w:cs="Times New Roman"/>
          <w:sz w:val="28"/>
          <w:szCs w:val="28"/>
        </w:rPr>
        <w:t> 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невід`ємною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28F" w:rsidRPr="00505B87" w:rsidRDefault="00BD028F" w:rsidP="00BD0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113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постійною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комісією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фінансових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бюджету,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інвестиційної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="00046E04" w:rsidRPr="00505B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542DB1" w:rsidRPr="00505B87" w:rsidRDefault="00542D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27A0" w:rsidRPr="00505B87" w:rsidRDefault="008727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27A0" w:rsidRPr="00505B87" w:rsidRDefault="008727A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27A0" w:rsidRPr="00505B87" w:rsidRDefault="008727A0" w:rsidP="008727A0">
      <w:pPr>
        <w:tabs>
          <w:tab w:val="left" w:pos="60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05B87">
        <w:rPr>
          <w:rFonts w:ascii="Times New Roman" w:hAnsi="Times New Roman" w:cs="Times New Roman"/>
          <w:sz w:val="28"/>
          <w:szCs w:val="28"/>
          <w:lang w:val="ru-RU"/>
        </w:rPr>
        <w:t>Сільський голова</w:t>
      </w:r>
      <w:r w:rsidRPr="00505B8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05B87">
        <w:rPr>
          <w:rFonts w:ascii="Times New Roman" w:hAnsi="Times New Roman" w:cs="Times New Roman"/>
          <w:sz w:val="28"/>
          <w:szCs w:val="28"/>
          <w:lang w:val="ru-RU"/>
        </w:rPr>
        <w:t>Олексій</w:t>
      </w:r>
      <w:proofErr w:type="spellEnd"/>
      <w:r w:rsidRPr="00505B87">
        <w:rPr>
          <w:rFonts w:ascii="Times New Roman" w:hAnsi="Times New Roman" w:cs="Times New Roman"/>
          <w:sz w:val="28"/>
          <w:szCs w:val="28"/>
          <w:lang w:val="ru-RU"/>
        </w:rPr>
        <w:t xml:space="preserve"> ПАНТІЛЄЄВ</w:t>
      </w:r>
    </w:p>
    <w:sectPr w:rsidR="008727A0" w:rsidRPr="00505B87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44A5B"/>
    <w:rsid w:val="00046E04"/>
    <w:rsid w:val="000741E8"/>
    <w:rsid w:val="000B65BC"/>
    <w:rsid w:val="00126E2B"/>
    <w:rsid w:val="001F2F92"/>
    <w:rsid w:val="002126D8"/>
    <w:rsid w:val="0021462F"/>
    <w:rsid w:val="00262294"/>
    <w:rsid w:val="002D1448"/>
    <w:rsid w:val="0040344D"/>
    <w:rsid w:val="00505B87"/>
    <w:rsid w:val="00542DB1"/>
    <w:rsid w:val="0060734C"/>
    <w:rsid w:val="00611E36"/>
    <w:rsid w:val="00614E4F"/>
    <w:rsid w:val="00676E2B"/>
    <w:rsid w:val="006C0A7D"/>
    <w:rsid w:val="007C392A"/>
    <w:rsid w:val="00821134"/>
    <w:rsid w:val="008727A0"/>
    <w:rsid w:val="00A605A0"/>
    <w:rsid w:val="00A829AC"/>
    <w:rsid w:val="00AB4DBD"/>
    <w:rsid w:val="00AC1A31"/>
    <w:rsid w:val="00B63C87"/>
    <w:rsid w:val="00B64D26"/>
    <w:rsid w:val="00B87630"/>
    <w:rsid w:val="00BD028F"/>
    <w:rsid w:val="00D04009"/>
    <w:rsid w:val="00DC063B"/>
    <w:rsid w:val="00DD2CDD"/>
    <w:rsid w:val="00E2114E"/>
    <w:rsid w:val="00E60671"/>
    <w:rsid w:val="00E720A4"/>
    <w:rsid w:val="00F340B8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1ED4"/>
  <w15:docId w15:val="{565F8C1C-DAAD-47D5-9DAE-D431108A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2020-12-16T08:42:00Z</dcterms:created>
  <dcterms:modified xsi:type="dcterms:W3CDTF">2021-12-31T06:54:00Z</dcterms:modified>
</cp:coreProperties>
</file>