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6FD" w:rsidRDefault="00AB05E9" w:rsidP="004071BA">
      <w:pPr>
        <w:pStyle w:val="a3"/>
        <w:spacing w:before="76"/>
        <w:ind w:left="4942" w:firstLine="619"/>
      </w:pPr>
      <w:r>
        <w:t>Додаток</w:t>
      </w:r>
      <w:r>
        <w:rPr>
          <w:spacing w:val="-2"/>
        </w:rPr>
        <w:t xml:space="preserve"> </w:t>
      </w:r>
      <w:r>
        <w:t>№1</w:t>
      </w:r>
    </w:p>
    <w:p w:rsidR="005E3CBB" w:rsidRDefault="00720C7A" w:rsidP="00720C7A">
      <w:pPr>
        <w:pStyle w:val="a3"/>
      </w:pPr>
      <w:r>
        <w:t xml:space="preserve">                                                                                      до </w:t>
      </w:r>
      <w:r w:rsidR="005E3CBB">
        <w:t xml:space="preserve">проєкту </w:t>
      </w:r>
      <w:r>
        <w:t xml:space="preserve">рішення Піщанської сільської </w:t>
      </w:r>
    </w:p>
    <w:p w:rsidR="005E3CBB" w:rsidRDefault="005E3CBB" w:rsidP="00720C7A">
      <w:pPr>
        <w:pStyle w:val="a3"/>
      </w:pPr>
      <w:r>
        <w:t xml:space="preserve">                                                                                     </w:t>
      </w:r>
      <w:r w:rsidR="00720C7A">
        <w:t xml:space="preserve"> ради Подільського району Одеської </w:t>
      </w:r>
    </w:p>
    <w:p w:rsidR="00720C7A" w:rsidRDefault="005E3CBB" w:rsidP="00720C7A">
      <w:pPr>
        <w:pStyle w:val="a3"/>
      </w:pPr>
      <w:r>
        <w:t xml:space="preserve">                                                                                      </w:t>
      </w:r>
      <w:r w:rsidR="00720C7A">
        <w:t>області</w:t>
      </w:r>
      <w:r>
        <w:t xml:space="preserve"> № ___</w:t>
      </w:r>
      <w:r w:rsidR="00AB74CA">
        <w:t xml:space="preserve">- VІІІ від </w:t>
      </w:r>
      <w:r w:rsidR="001F0414">
        <w:t>09</w:t>
      </w:r>
      <w:bookmarkStart w:id="0" w:name="_GoBack"/>
      <w:bookmarkEnd w:id="0"/>
      <w:r w:rsidR="00AB74CA">
        <w:t xml:space="preserve"> червня</w:t>
      </w:r>
      <w:r w:rsidR="00720C7A">
        <w:t xml:space="preserve"> 202</w:t>
      </w:r>
      <w:r>
        <w:t>3</w:t>
      </w:r>
      <w:r w:rsidR="00720C7A">
        <w:t>р.</w:t>
      </w:r>
    </w:p>
    <w:p w:rsidR="00FF46FD" w:rsidRPr="0020468D" w:rsidRDefault="00FF46FD" w:rsidP="00720C7A">
      <w:pPr>
        <w:pStyle w:val="a3"/>
        <w:rPr>
          <w:sz w:val="28"/>
          <w:szCs w:val="28"/>
        </w:rPr>
      </w:pPr>
    </w:p>
    <w:p w:rsidR="00FF46FD" w:rsidRPr="0020468D" w:rsidRDefault="00AB05E9">
      <w:pPr>
        <w:pStyle w:val="1"/>
        <w:ind w:left="1362" w:right="1369" w:firstLine="0"/>
        <w:jc w:val="center"/>
        <w:rPr>
          <w:sz w:val="28"/>
          <w:szCs w:val="28"/>
        </w:rPr>
      </w:pPr>
      <w:r w:rsidRPr="0020468D">
        <w:rPr>
          <w:sz w:val="28"/>
          <w:szCs w:val="28"/>
        </w:rPr>
        <w:t>Податок</w:t>
      </w:r>
      <w:r w:rsidRPr="0020468D">
        <w:rPr>
          <w:spacing w:val="-4"/>
          <w:sz w:val="28"/>
          <w:szCs w:val="28"/>
        </w:rPr>
        <w:t xml:space="preserve"> </w:t>
      </w:r>
      <w:r w:rsidRPr="0020468D">
        <w:rPr>
          <w:sz w:val="28"/>
          <w:szCs w:val="28"/>
        </w:rPr>
        <w:t>на</w:t>
      </w:r>
      <w:r w:rsidRPr="0020468D">
        <w:rPr>
          <w:spacing w:val="-3"/>
          <w:sz w:val="28"/>
          <w:szCs w:val="28"/>
        </w:rPr>
        <w:t xml:space="preserve"> </w:t>
      </w:r>
      <w:r w:rsidRPr="0020468D">
        <w:rPr>
          <w:sz w:val="28"/>
          <w:szCs w:val="28"/>
        </w:rPr>
        <w:t>нерухоме</w:t>
      </w:r>
      <w:r w:rsidRPr="0020468D">
        <w:rPr>
          <w:spacing w:val="55"/>
          <w:sz w:val="28"/>
          <w:szCs w:val="28"/>
        </w:rPr>
        <w:t xml:space="preserve"> </w:t>
      </w:r>
      <w:r w:rsidRPr="0020468D">
        <w:rPr>
          <w:sz w:val="28"/>
          <w:szCs w:val="28"/>
        </w:rPr>
        <w:t>майно,</w:t>
      </w:r>
      <w:r w:rsidRPr="0020468D">
        <w:rPr>
          <w:spacing w:val="-2"/>
          <w:sz w:val="28"/>
          <w:szCs w:val="28"/>
        </w:rPr>
        <w:t xml:space="preserve"> </w:t>
      </w:r>
      <w:r w:rsidRPr="0020468D">
        <w:rPr>
          <w:sz w:val="28"/>
          <w:szCs w:val="28"/>
        </w:rPr>
        <w:t>відмінне</w:t>
      </w:r>
      <w:r w:rsidRPr="0020468D">
        <w:rPr>
          <w:spacing w:val="55"/>
          <w:sz w:val="28"/>
          <w:szCs w:val="28"/>
        </w:rPr>
        <w:t xml:space="preserve"> </w:t>
      </w:r>
      <w:r w:rsidRPr="0020468D">
        <w:rPr>
          <w:sz w:val="28"/>
          <w:szCs w:val="28"/>
        </w:rPr>
        <w:t>від</w:t>
      </w:r>
      <w:r w:rsidRPr="0020468D">
        <w:rPr>
          <w:spacing w:val="54"/>
          <w:sz w:val="28"/>
          <w:szCs w:val="28"/>
        </w:rPr>
        <w:t xml:space="preserve"> </w:t>
      </w:r>
      <w:r w:rsidRPr="0020468D">
        <w:rPr>
          <w:sz w:val="28"/>
          <w:szCs w:val="28"/>
        </w:rPr>
        <w:t>земельної</w:t>
      </w:r>
      <w:r w:rsidRPr="0020468D">
        <w:rPr>
          <w:spacing w:val="56"/>
          <w:sz w:val="28"/>
          <w:szCs w:val="28"/>
        </w:rPr>
        <w:t xml:space="preserve"> </w:t>
      </w:r>
      <w:r w:rsidRPr="0020468D">
        <w:rPr>
          <w:sz w:val="28"/>
          <w:szCs w:val="28"/>
        </w:rPr>
        <w:t>ділянки.</w:t>
      </w:r>
    </w:p>
    <w:p w:rsidR="00FF46FD" w:rsidRDefault="00FF46FD">
      <w:pPr>
        <w:pStyle w:val="a3"/>
        <w:spacing w:before="11"/>
        <w:ind w:left="0"/>
        <w:rPr>
          <w:b/>
          <w:sz w:val="20"/>
        </w:rPr>
      </w:pPr>
    </w:p>
    <w:p w:rsidR="00FF46FD" w:rsidRDefault="00AB05E9">
      <w:pPr>
        <w:pStyle w:val="a4"/>
        <w:numPr>
          <w:ilvl w:val="0"/>
          <w:numId w:val="1"/>
        </w:numPr>
        <w:tabs>
          <w:tab w:val="left" w:pos="342"/>
        </w:tabs>
        <w:ind w:hanging="241"/>
        <w:jc w:val="both"/>
        <w:rPr>
          <w:b/>
          <w:sz w:val="24"/>
        </w:rPr>
      </w:pPr>
      <w:bookmarkStart w:id="1" w:name="1._Платники___податку"/>
      <w:bookmarkEnd w:id="1"/>
      <w:r>
        <w:rPr>
          <w:b/>
          <w:sz w:val="24"/>
        </w:rPr>
        <w:t>Платники</w:t>
      </w:r>
      <w:r>
        <w:rPr>
          <w:b/>
          <w:spacing w:val="109"/>
          <w:sz w:val="24"/>
        </w:rPr>
        <w:t xml:space="preserve"> </w:t>
      </w:r>
      <w:r>
        <w:rPr>
          <w:b/>
          <w:sz w:val="24"/>
        </w:rPr>
        <w:t>податку</w:t>
      </w:r>
    </w:p>
    <w:p w:rsidR="00FF46FD" w:rsidRDefault="00AB05E9">
      <w:pPr>
        <w:pStyle w:val="a4"/>
        <w:numPr>
          <w:ilvl w:val="1"/>
          <w:numId w:val="1"/>
        </w:numPr>
        <w:tabs>
          <w:tab w:val="left" w:pos="562"/>
        </w:tabs>
        <w:ind w:right="108" w:firstLine="0"/>
        <w:jc w:val="both"/>
        <w:rPr>
          <w:sz w:val="24"/>
        </w:rPr>
      </w:pPr>
      <w:r>
        <w:rPr>
          <w:sz w:val="24"/>
        </w:rPr>
        <w:t>Платниками податку є фізичні та юридичні особи, в тому числі нерезиденти, які є</w:t>
      </w:r>
      <w:r>
        <w:rPr>
          <w:spacing w:val="1"/>
          <w:sz w:val="24"/>
        </w:rPr>
        <w:t xml:space="preserve"> </w:t>
      </w:r>
      <w:r>
        <w:rPr>
          <w:sz w:val="24"/>
        </w:rPr>
        <w:t>власниками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об’єктів</w:t>
      </w:r>
      <w:r>
        <w:rPr>
          <w:spacing w:val="-1"/>
          <w:sz w:val="24"/>
        </w:rPr>
        <w:t xml:space="preserve"> </w:t>
      </w:r>
      <w:r>
        <w:rPr>
          <w:sz w:val="24"/>
        </w:rPr>
        <w:t>житлової</w:t>
      </w:r>
      <w:r>
        <w:rPr>
          <w:spacing w:val="-1"/>
          <w:sz w:val="24"/>
        </w:rPr>
        <w:t xml:space="preserve"> </w:t>
      </w:r>
      <w:r>
        <w:rPr>
          <w:sz w:val="24"/>
        </w:rPr>
        <w:t>та/або нежитлової нерухомості.</w:t>
      </w:r>
    </w:p>
    <w:p w:rsidR="00FF46FD" w:rsidRDefault="00AB05E9">
      <w:pPr>
        <w:pStyle w:val="a4"/>
        <w:numPr>
          <w:ilvl w:val="1"/>
          <w:numId w:val="1"/>
        </w:numPr>
        <w:tabs>
          <w:tab w:val="left" w:pos="659"/>
        </w:tabs>
        <w:ind w:right="107" w:firstLine="0"/>
        <w:jc w:val="both"/>
        <w:rPr>
          <w:sz w:val="24"/>
        </w:rPr>
      </w:pPr>
      <w:r>
        <w:rPr>
          <w:sz w:val="24"/>
        </w:rPr>
        <w:t>Визначення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платників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перебування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об’єктів</w:t>
      </w:r>
      <w:r>
        <w:rPr>
          <w:spacing w:val="1"/>
          <w:sz w:val="24"/>
        </w:rPr>
        <w:t xml:space="preserve"> </w:t>
      </w:r>
      <w:r>
        <w:rPr>
          <w:sz w:val="24"/>
        </w:rPr>
        <w:t>житлової</w:t>
      </w:r>
      <w:r>
        <w:rPr>
          <w:spacing w:val="1"/>
          <w:sz w:val="24"/>
        </w:rPr>
        <w:t xml:space="preserve"> </w:t>
      </w:r>
      <w:r>
        <w:rPr>
          <w:sz w:val="24"/>
        </w:rPr>
        <w:t>та/або</w:t>
      </w:r>
      <w:r>
        <w:rPr>
          <w:spacing w:val="1"/>
          <w:sz w:val="24"/>
        </w:rPr>
        <w:t xml:space="preserve"> </w:t>
      </w:r>
      <w:r>
        <w:rPr>
          <w:sz w:val="24"/>
        </w:rPr>
        <w:t>нежитлової нерухомості у спільній частковій або спільній сумісній власності кількох осіб</w:t>
      </w:r>
      <w:r>
        <w:rPr>
          <w:spacing w:val="1"/>
          <w:sz w:val="24"/>
        </w:rPr>
        <w:t xml:space="preserve"> </w:t>
      </w:r>
      <w:r>
        <w:rPr>
          <w:sz w:val="24"/>
        </w:rPr>
        <w:t>встановлено підпунктом 266.1.2 пункту 266.1 статті 266 розділу XII Податкового кодексу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України.</w:t>
      </w:r>
    </w:p>
    <w:p w:rsidR="00FF46FD" w:rsidRDefault="00FF46FD">
      <w:pPr>
        <w:pStyle w:val="a3"/>
        <w:ind w:left="0"/>
      </w:pPr>
    </w:p>
    <w:p w:rsidR="00FF46FD" w:rsidRDefault="00AB05E9">
      <w:pPr>
        <w:pStyle w:val="1"/>
        <w:numPr>
          <w:ilvl w:val="0"/>
          <w:numId w:val="1"/>
        </w:numPr>
        <w:tabs>
          <w:tab w:val="left" w:pos="342"/>
        </w:tabs>
        <w:ind w:hanging="241"/>
        <w:jc w:val="both"/>
      </w:pPr>
      <w:bookmarkStart w:id="2" w:name="2._Об’єкт___оподаткування"/>
      <w:bookmarkEnd w:id="2"/>
      <w:r>
        <w:t>Об’єкт</w:t>
      </w:r>
      <w:r>
        <w:rPr>
          <w:spacing w:val="109"/>
        </w:rPr>
        <w:t xml:space="preserve"> </w:t>
      </w:r>
      <w:r>
        <w:t>оподаткування</w:t>
      </w:r>
    </w:p>
    <w:p w:rsidR="00FF46FD" w:rsidRDefault="00AB05E9">
      <w:pPr>
        <w:pStyle w:val="a4"/>
        <w:numPr>
          <w:ilvl w:val="1"/>
          <w:numId w:val="1"/>
        </w:numPr>
        <w:tabs>
          <w:tab w:val="left" w:pos="541"/>
        </w:tabs>
        <w:ind w:right="107" w:firstLine="0"/>
        <w:jc w:val="both"/>
        <w:rPr>
          <w:sz w:val="24"/>
        </w:rPr>
      </w:pPr>
      <w:r>
        <w:rPr>
          <w:sz w:val="24"/>
        </w:rPr>
        <w:t>Об’єктом</w:t>
      </w:r>
      <w:r>
        <w:rPr>
          <w:spacing w:val="1"/>
          <w:sz w:val="24"/>
        </w:rPr>
        <w:t xml:space="preserve"> </w:t>
      </w:r>
      <w:r>
        <w:rPr>
          <w:sz w:val="24"/>
        </w:rPr>
        <w:t>оподаткування є об’єкт житлової та нежитлової нерухомості, в тому числі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-2"/>
          <w:sz w:val="24"/>
        </w:rPr>
        <w:t xml:space="preserve"> </w:t>
      </w:r>
      <w:r>
        <w:rPr>
          <w:sz w:val="24"/>
        </w:rPr>
        <w:t>частка.</w:t>
      </w:r>
    </w:p>
    <w:p w:rsidR="00FF46FD" w:rsidRDefault="00AB05E9">
      <w:pPr>
        <w:pStyle w:val="a4"/>
        <w:numPr>
          <w:ilvl w:val="1"/>
          <w:numId w:val="1"/>
        </w:numPr>
        <w:tabs>
          <w:tab w:val="left" w:pos="565"/>
        </w:tabs>
        <w:ind w:right="107" w:firstLine="0"/>
        <w:jc w:val="both"/>
        <w:rPr>
          <w:sz w:val="24"/>
        </w:rPr>
      </w:pPr>
      <w:r>
        <w:rPr>
          <w:sz w:val="24"/>
        </w:rPr>
        <w:t>Об’єкти житлової та/або нежитлової нерухомості, які не є об’єктом оподаткування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визначені підпунктом 266.2.2 пункту 266.2 статті 266 розділу XII Податкового кодексу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України.</w:t>
      </w:r>
    </w:p>
    <w:p w:rsidR="00FF46FD" w:rsidRDefault="00FF46FD">
      <w:pPr>
        <w:pStyle w:val="a3"/>
        <w:ind w:left="0"/>
      </w:pPr>
    </w:p>
    <w:p w:rsidR="00FF46FD" w:rsidRDefault="00AB05E9">
      <w:pPr>
        <w:pStyle w:val="1"/>
        <w:numPr>
          <w:ilvl w:val="0"/>
          <w:numId w:val="1"/>
        </w:numPr>
        <w:tabs>
          <w:tab w:val="left" w:pos="342"/>
        </w:tabs>
        <w:ind w:hanging="241"/>
        <w:jc w:val="both"/>
      </w:pPr>
      <w:r>
        <w:t>База</w:t>
      </w:r>
      <w:r>
        <w:rPr>
          <w:spacing w:val="56"/>
        </w:rPr>
        <w:t xml:space="preserve"> </w:t>
      </w:r>
      <w:r>
        <w:t>оподаткування</w:t>
      </w:r>
    </w:p>
    <w:p w:rsidR="00FF46FD" w:rsidRDefault="00AB05E9">
      <w:pPr>
        <w:pStyle w:val="a4"/>
        <w:numPr>
          <w:ilvl w:val="1"/>
          <w:numId w:val="1"/>
        </w:numPr>
        <w:tabs>
          <w:tab w:val="left" w:pos="524"/>
        </w:tabs>
        <w:ind w:right="108" w:firstLine="0"/>
        <w:jc w:val="both"/>
        <w:rPr>
          <w:sz w:val="24"/>
        </w:rPr>
      </w:pPr>
      <w:r>
        <w:rPr>
          <w:sz w:val="24"/>
        </w:rPr>
        <w:t>Базою оподаткування є загальна площа об’єкта житлової та нежитлової нерухомості,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тому</w:t>
      </w:r>
      <w:r>
        <w:rPr>
          <w:spacing w:val="-1"/>
          <w:sz w:val="24"/>
        </w:rPr>
        <w:t xml:space="preserve"> </w:t>
      </w:r>
      <w:r>
        <w:rPr>
          <w:sz w:val="24"/>
        </w:rPr>
        <w:t>числі</w:t>
      </w:r>
      <w:r>
        <w:rPr>
          <w:spacing w:val="-1"/>
          <w:sz w:val="24"/>
        </w:rPr>
        <w:t xml:space="preserve"> </w:t>
      </w:r>
      <w:r>
        <w:rPr>
          <w:sz w:val="24"/>
        </w:rPr>
        <w:t>його</w:t>
      </w:r>
      <w:r>
        <w:rPr>
          <w:spacing w:val="-1"/>
          <w:sz w:val="24"/>
        </w:rPr>
        <w:t xml:space="preserve"> </w:t>
      </w:r>
      <w:r>
        <w:rPr>
          <w:sz w:val="24"/>
        </w:rPr>
        <w:t>часток.</w:t>
      </w:r>
    </w:p>
    <w:p w:rsidR="00FF46FD" w:rsidRDefault="00AB05E9">
      <w:pPr>
        <w:pStyle w:val="a4"/>
        <w:numPr>
          <w:ilvl w:val="1"/>
          <w:numId w:val="1"/>
        </w:numPr>
        <w:tabs>
          <w:tab w:val="left" w:pos="572"/>
        </w:tabs>
        <w:ind w:right="108" w:firstLine="0"/>
        <w:jc w:val="both"/>
        <w:rPr>
          <w:sz w:val="24"/>
        </w:rPr>
      </w:pPr>
      <w:r>
        <w:rPr>
          <w:sz w:val="24"/>
        </w:rPr>
        <w:t>База оподаткування об’єктів житлової та нежитлової нерухомості, в тому числі їх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часток, які перебувають у власності фізичних осіб, обчислюється контролюючим 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на підставі даних Державного реєстру речових прав на нерухоме майно, що безоплатно</w:t>
      </w:r>
      <w:r>
        <w:rPr>
          <w:spacing w:val="1"/>
          <w:sz w:val="24"/>
        </w:rPr>
        <w:t xml:space="preserve"> </w:t>
      </w:r>
      <w:r>
        <w:rPr>
          <w:sz w:val="24"/>
        </w:rPr>
        <w:t>надаються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1"/>
          <w:sz w:val="24"/>
        </w:rPr>
        <w:t xml:space="preserve"> </w:t>
      </w:r>
      <w:r>
        <w:rPr>
          <w:sz w:val="24"/>
        </w:rPr>
        <w:t>реєстрації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нерухоме</w:t>
      </w:r>
      <w:r>
        <w:rPr>
          <w:spacing w:val="1"/>
          <w:sz w:val="24"/>
        </w:rPr>
        <w:t xml:space="preserve"> </w:t>
      </w:r>
      <w:r>
        <w:rPr>
          <w:sz w:val="24"/>
        </w:rPr>
        <w:t>майно</w:t>
      </w:r>
      <w:r>
        <w:rPr>
          <w:spacing w:val="1"/>
          <w:sz w:val="24"/>
        </w:rPr>
        <w:t xml:space="preserve"> </w:t>
      </w:r>
      <w:r>
        <w:rPr>
          <w:sz w:val="24"/>
        </w:rPr>
        <w:t>та/або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підставі</w:t>
      </w:r>
      <w:r>
        <w:rPr>
          <w:spacing w:val="-57"/>
          <w:sz w:val="24"/>
        </w:rPr>
        <w:t xml:space="preserve"> </w:t>
      </w:r>
      <w:r>
        <w:rPr>
          <w:sz w:val="24"/>
        </w:rPr>
        <w:t>оригіналів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документів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податків,</w:t>
      </w:r>
      <w:r>
        <w:rPr>
          <w:spacing w:val="1"/>
          <w:sz w:val="24"/>
        </w:rPr>
        <w:t xml:space="preserve"> </w:t>
      </w:r>
      <w:r>
        <w:rPr>
          <w:sz w:val="24"/>
        </w:rPr>
        <w:t>зокрема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документів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власності.</w:t>
      </w:r>
    </w:p>
    <w:p w:rsidR="00FF46FD" w:rsidRDefault="00AB05E9">
      <w:pPr>
        <w:pStyle w:val="a4"/>
        <w:numPr>
          <w:ilvl w:val="1"/>
          <w:numId w:val="1"/>
        </w:numPr>
        <w:tabs>
          <w:tab w:val="left" w:pos="572"/>
        </w:tabs>
        <w:spacing w:before="1"/>
        <w:ind w:right="108" w:firstLine="0"/>
        <w:jc w:val="both"/>
        <w:rPr>
          <w:sz w:val="24"/>
        </w:rPr>
      </w:pPr>
      <w:r>
        <w:rPr>
          <w:sz w:val="24"/>
        </w:rPr>
        <w:t>База оподаткування об’єктів житлової та нежитлової нерухомості, в тому числі їх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часток,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перебувають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власності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осіб,</w:t>
      </w:r>
      <w:r>
        <w:rPr>
          <w:spacing w:val="1"/>
          <w:sz w:val="24"/>
        </w:rPr>
        <w:t xml:space="preserve"> </w:t>
      </w:r>
      <w:r>
        <w:rPr>
          <w:sz w:val="24"/>
        </w:rPr>
        <w:t>обчислюється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самостійно,</w:t>
      </w:r>
      <w:r>
        <w:rPr>
          <w:spacing w:val="1"/>
          <w:sz w:val="24"/>
        </w:rPr>
        <w:t xml:space="preserve"> </w:t>
      </w:r>
      <w:r>
        <w:rPr>
          <w:sz w:val="24"/>
        </w:rPr>
        <w:t>виходячи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площі</w:t>
      </w:r>
      <w:r>
        <w:rPr>
          <w:spacing w:val="1"/>
          <w:sz w:val="24"/>
        </w:rPr>
        <w:t xml:space="preserve"> </w:t>
      </w:r>
      <w:r>
        <w:rPr>
          <w:sz w:val="24"/>
        </w:rPr>
        <w:t>кожного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об’єкта</w:t>
      </w:r>
      <w:r>
        <w:rPr>
          <w:spacing w:val="1"/>
          <w:sz w:val="24"/>
        </w:rPr>
        <w:t xml:space="preserve"> </w:t>
      </w:r>
      <w:r>
        <w:rPr>
          <w:sz w:val="24"/>
        </w:rPr>
        <w:t>оподаткування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підставі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документів,</w:t>
      </w:r>
      <w:r>
        <w:rPr>
          <w:spacing w:val="-1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підтверджують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власності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на такий</w:t>
      </w:r>
      <w:r>
        <w:rPr>
          <w:spacing w:val="-2"/>
          <w:sz w:val="24"/>
        </w:rPr>
        <w:t xml:space="preserve"> </w:t>
      </w:r>
      <w:r>
        <w:rPr>
          <w:sz w:val="24"/>
        </w:rPr>
        <w:t>об’єкт.</w:t>
      </w:r>
    </w:p>
    <w:p w:rsidR="00FF46FD" w:rsidRDefault="00AB05E9">
      <w:pPr>
        <w:pStyle w:val="a4"/>
        <w:numPr>
          <w:ilvl w:val="1"/>
          <w:numId w:val="1"/>
        </w:numPr>
        <w:tabs>
          <w:tab w:val="left" w:pos="529"/>
        </w:tabs>
        <w:ind w:right="108" w:firstLine="0"/>
        <w:jc w:val="both"/>
        <w:rPr>
          <w:sz w:val="24"/>
        </w:rPr>
      </w:pPr>
      <w:r>
        <w:rPr>
          <w:sz w:val="24"/>
        </w:rPr>
        <w:t>База оподаткування об’єкта/об’єктів житлової нерухомості, в тому числі їх часток, що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перебувають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власності фізичної</w:t>
      </w:r>
      <w:r>
        <w:rPr>
          <w:spacing w:val="-2"/>
          <w:sz w:val="24"/>
        </w:rPr>
        <w:t xml:space="preserve"> </w:t>
      </w:r>
      <w:r>
        <w:rPr>
          <w:sz w:val="24"/>
        </w:rPr>
        <w:t>особи</w:t>
      </w:r>
      <w:r>
        <w:rPr>
          <w:spacing w:val="-2"/>
          <w:sz w:val="24"/>
        </w:rPr>
        <w:t xml:space="preserve"> </w:t>
      </w:r>
      <w:r>
        <w:rPr>
          <w:sz w:val="24"/>
        </w:rPr>
        <w:t>платника податку,</w:t>
      </w:r>
      <w:r>
        <w:rPr>
          <w:spacing w:val="-1"/>
          <w:sz w:val="24"/>
        </w:rPr>
        <w:t xml:space="preserve"> </w:t>
      </w:r>
      <w:r>
        <w:rPr>
          <w:sz w:val="24"/>
        </w:rPr>
        <w:t>зменшується:</w:t>
      </w:r>
    </w:p>
    <w:p w:rsidR="00FF46FD" w:rsidRDefault="00AB05E9">
      <w:pPr>
        <w:pStyle w:val="a3"/>
        <w:jc w:val="both"/>
      </w:pPr>
      <w:r>
        <w:t>а)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квартири/квартир,</w:t>
      </w:r>
      <w:r>
        <w:rPr>
          <w:spacing w:val="-3"/>
        </w:rPr>
        <w:t xml:space="preserve"> </w:t>
      </w:r>
      <w:r>
        <w:t>незалежно</w:t>
      </w:r>
      <w:r>
        <w:rPr>
          <w:spacing w:val="-3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кількості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кв.</w:t>
      </w:r>
      <w:r>
        <w:rPr>
          <w:spacing w:val="-2"/>
        </w:rPr>
        <w:t xml:space="preserve"> </w:t>
      </w:r>
      <w:r>
        <w:t>метрів;</w:t>
      </w:r>
    </w:p>
    <w:p w:rsidR="00FF46FD" w:rsidRDefault="00AB05E9">
      <w:pPr>
        <w:pStyle w:val="a3"/>
        <w:jc w:val="both"/>
      </w:pPr>
      <w:r>
        <w:t>б)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житлового</w:t>
      </w:r>
      <w:r>
        <w:rPr>
          <w:spacing w:val="-2"/>
        </w:rPr>
        <w:t xml:space="preserve"> </w:t>
      </w:r>
      <w:r>
        <w:t>будинку/будинків,</w:t>
      </w:r>
      <w:r>
        <w:rPr>
          <w:spacing w:val="-2"/>
        </w:rPr>
        <w:t xml:space="preserve"> </w:t>
      </w:r>
      <w:r>
        <w:t>незалежно</w:t>
      </w:r>
      <w:r>
        <w:rPr>
          <w:spacing w:val="-3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кількості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120</w:t>
      </w:r>
      <w:r>
        <w:rPr>
          <w:spacing w:val="-3"/>
        </w:rPr>
        <w:t xml:space="preserve"> </w:t>
      </w:r>
      <w:r>
        <w:t>кв.</w:t>
      </w:r>
      <w:r>
        <w:rPr>
          <w:spacing w:val="-2"/>
        </w:rPr>
        <w:t xml:space="preserve"> </w:t>
      </w:r>
      <w:r>
        <w:t>метрів;</w:t>
      </w:r>
    </w:p>
    <w:p w:rsidR="00FF46FD" w:rsidRDefault="00AB05E9">
      <w:pPr>
        <w:pStyle w:val="a3"/>
        <w:ind w:right="108"/>
        <w:jc w:val="both"/>
      </w:pPr>
      <w:r>
        <w:t>в)</w:t>
      </w:r>
      <w:r w:rsidR="008D397E"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типів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житлової</w:t>
      </w:r>
      <w:r>
        <w:rPr>
          <w:spacing w:val="1"/>
        </w:rPr>
        <w:t xml:space="preserve"> </w:t>
      </w:r>
      <w:r>
        <w:t>нерухомості,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часток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одночасного перебування у власності платника податку квартири/квартир та житлового</w:t>
      </w:r>
      <w:r>
        <w:rPr>
          <w:spacing w:val="1"/>
        </w:rPr>
        <w:t xml:space="preserve"> </w:t>
      </w:r>
      <w:r>
        <w:t>будинку/будинків,</w:t>
      </w:r>
      <w:r>
        <w:rPr>
          <w:spacing w:val="-1"/>
        </w:rPr>
        <w:t xml:space="preserve"> </w:t>
      </w:r>
      <w:r>
        <w:t>у тому числі</w:t>
      </w:r>
      <w:r>
        <w:rPr>
          <w:spacing w:val="-1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часток), -</w:t>
      </w:r>
      <w:r>
        <w:rPr>
          <w:spacing w:val="-1"/>
        </w:rPr>
        <w:t xml:space="preserve"> </w:t>
      </w:r>
      <w:r>
        <w:t>на 180 кв.</w:t>
      </w:r>
      <w:r>
        <w:rPr>
          <w:spacing w:val="-1"/>
        </w:rPr>
        <w:t xml:space="preserve"> </w:t>
      </w:r>
      <w:r>
        <w:t>метрів;</w:t>
      </w:r>
    </w:p>
    <w:p w:rsidR="00FF46FD" w:rsidRDefault="00AB05E9">
      <w:pPr>
        <w:pStyle w:val="a3"/>
        <w:ind w:right="108" w:firstLine="660"/>
        <w:jc w:val="both"/>
      </w:pPr>
      <w:r>
        <w:t>Таке</w:t>
      </w:r>
      <w:r>
        <w:rPr>
          <w:spacing w:val="1"/>
        </w:rPr>
        <w:t xml:space="preserve"> </w:t>
      </w:r>
      <w:r>
        <w:t>зменшення</w:t>
      </w:r>
      <w:r>
        <w:rPr>
          <w:spacing w:val="1"/>
        </w:rPr>
        <w:t xml:space="preserve"> </w:t>
      </w:r>
      <w:r>
        <w:t>надається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кожний</w:t>
      </w:r>
      <w:r>
        <w:rPr>
          <w:spacing w:val="60"/>
        </w:rPr>
        <w:t xml:space="preserve"> </w:t>
      </w:r>
      <w:r>
        <w:t>базовий</w:t>
      </w:r>
      <w:r>
        <w:rPr>
          <w:spacing w:val="60"/>
        </w:rPr>
        <w:t xml:space="preserve"> </w:t>
      </w:r>
      <w:r>
        <w:t>податковий</w:t>
      </w:r>
      <w:r>
        <w:rPr>
          <w:spacing w:val="60"/>
        </w:rPr>
        <w:t xml:space="preserve"> </w:t>
      </w:r>
      <w:r>
        <w:t>(звітний)</w:t>
      </w:r>
      <w:r>
        <w:rPr>
          <w:spacing w:val="-57"/>
        </w:rPr>
        <w:t xml:space="preserve"> </w:t>
      </w:r>
      <w:r>
        <w:t>період</w:t>
      </w:r>
      <w:r>
        <w:rPr>
          <w:spacing w:val="-1"/>
        </w:rPr>
        <w:t xml:space="preserve"> </w:t>
      </w:r>
      <w:r>
        <w:t>(рік).</w:t>
      </w:r>
    </w:p>
    <w:p w:rsidR="00FF46FD" w:rsidRDefault="00FF46FD">
      <w:pPr>
        <w:pStyle w:val="a3"/>
        <w:spacing w:before="10"/>
        <w:ind w:left="0"/>
        <w:rPr>
          <w:sz w:val="23"/>
        </w:rPr>
      </w:pPr>
    </w:p>
    <w:p w:rsidR="00FF46FD" w:rsidRDefault="00AB05E9">
      <w:pPr>
        <w:pStyle w:val="1"/>
        <w:numPr>
          <w:ilvl w:val="0"/>
          <w:numId w:val="1"/>
        </w:numPr>
        <w:tabs>
          <w:tab w:val="left" w:pos="342"/>
        </w:tabs>
        <w:ind w:hanging="241"/>
        <w:jc w:val="both"/>
      </w:pPr>
      <w:bookmarkStart w:id="3" w:name="4._Ставка___податку"/>
      <w:bookmarkEnd w:id="3"/>
      <w:r>
        <w:t>Ставка</w:t>
      </w:r>
      <w:r>
        <w:rPr>
          <w:spacing w:val="112"/>
        </w:rPr>
        <w:t xml:space="preserve"> </w:t>
      </w:r>
      <w:r>
        <w:t>податку</w:t>
      </w:r>
    </w:p>
    <w:p w:rsidR="00FF46FD" w:rsidRDefault="00AB05E9">
      <w:pPr>
        <w:pStyle w:val="a3"/>
        <w:ind w:right="106"/>
        <w:jc w:val="both"/>
      </w:pPr>
      <w:bookmarkStart w:id="4" w:name="Ставки_податку_для_об’єктів_житлової_та/"/>
      <w:bookmarkEnd w:id="4"/>
      <w:r>
        <w:t>Ставки податку для об’єктів житлової та/або нежитлової нерухомості, що перебувають у</w:t>
      </w:r>
      <w:r>
        <w:rPr>
          <w:spacing w:val="1"/>
        </w:rPr>
        <w:t xml:space="preserve"> </w:t>
      </w:r>
      <w:r>
        <w:t>власності фізичних та юридичних осіб, встановлюються у відсотках розміру мінімальної</w:t>
      </w:r>
      <w:r>
        <w:rPr>
          <w:spacing w:val="1"/>
        </w:rPr>
        <w:t xml:space="preserve"> </w:t>
      </w:r>
      <w:r>
        <w:t>заробітної</w:t>
      </w:r>
      <w:r>
        <w:rPr>
          <w:spacing w:val="1"/>
        </w:rPr>
        <w:t xml:space="preserve"> </w:t>
      </w:r>
      <w:r>
        <w:t>плати,</w:t>
      </w:r>
      <w:r>
        <w:rPr>
          <w:spacing w:val="1"/>
        </w:rPr>
        <w:t xml:space="preserve"> </w:t>
      </w:r>
      <w:r>
        <w:t>встановленої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січня</w:t>
      </w:r>
      <w:r>
        <w:rPr>
          <w:spacing w:val="1"/>
        </w:rPr>
        <w:t xml:space="preserve"> </w:t>
      </w:r>
      <w:r>
        <w:t>звітного</w:t>
      </w:r>
      <w:r>
        <w:rPr>
          <w:spacing w:val="1"/>
        </w:rPr>
        <w:t xml:space="preserve"> </w:t>
      </w:r>
      <w:r>
        <w:t>(податкового)</w:t>
      </w:r>
      <w:r>
        <w:rPr>
          <w:spacing w:val="1"/>
        </w:rPr>
        <w:t xml:space="preserve"> </w:t>
      </w:r>
      <w:r>
        <w:t>року,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квадратний</w:t>
      </w:r>
      <w:r>
        <w:rPr>
          <w:spacing w:val="-3"/>
        </w:rPr>
        <w:t xml:space="preserve"> </w:t>
      </w:r>
      <w:r>
        <w:t>метр</w:t>
      </w:r>
      <w:r>
        <w:rPr>
          <w:spacing w:val="-1"/>
        </w:rPr>
        <w:t xml:space="preserve"> </w:t>
      </w:r>
      <w:r>
        <w:t>бази</w:t>
      </w:r>
      <w:r>
        <w:rPr>
          <w:spacing w:val="-4"/>
        </w:rPr>
        <w:t xml:space="preserve"> </w:t>
      </w:r>
      <w:r>
        <w:t>оподаткування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наведені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Додатках</w:t>
      </w:r>
      <w:r>
        <w:rPr>
          <w:spacing w:val="-1"/>
        </w:rPr>
        <w:t xml:space="preserve"> </w:t>
      </w:r>
      <w:r>
        <w:t>1.1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1.2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рішення.</w:t>
      </w:r>
    </w:p>
    <w:p w:rsidR="008B21B7" w:rsidRDefault="008B21B7">
      <w:pPr>
        <w:pStyle w:val="a3"/>
        <w:ind w:right="106"/>
        <w:jc w:val="both"/>
      </w:pPr>
    </w:p>
    <w:p w:rsidR="008B21B7" w:rsidRDefault="008B21B7">
      <w:pPr>
        <w:pStyle w:val="a3"/>
        <w:ind w:right="106"/>
        <w:jc w:val="both"/>
      </w:pPr>
    </w:p>
    <w:p w:rsidR="008B21B7" w:rsidRDefault="008B21B7">
      <w:pPr>
        <w:pStyle w:val="a3"/>
        <w:ind w:right="106"/>
        <w:jc w:val="both"/>
      </w:pPr>
    </w:p>
    <w:p w:rsidR="00FF46FD" w:rsidRDefault="00FF46FD">
      <w:pPr>
        <w:pStyle w:val="a3"/>
        <w:ind w:left="0"/>
      </w:pPr>
    </w:p>
    <w:p w:rsidR="00FF46FD" w:rsidRDefault="00AB05E9" w:rsidP="008B21B7">
      <w:pPr>
        <w:pStyle w:val="1"/>
        <w:numPr>
          <w:ilvl w:val="0"/>
          <w:numId w:val="1"/>
        </w:numPr>
        <w:tabs>
          <w:tab w:val="left" w:pos="342"/>
        </w:tabs>
        <w:ind w:hanging="241"/>
        <w:jc w:val="both"/>
      </w:pPr>
      <w:bookmarkStart w:id="5" w:name="5._Порядок__обчислення__податку"/>
      <w:bookmarkEnd w:id="5"/>
      <w:r>
        <w:lastRenderedPageBreak/>
        <w:t>Порядок</w:t>
      </w:r>
      <w:r w:rsidRPr="008B21B7">
        <w:rPr>
          <w:spacing w:val="53"/>
        </w:rPr>
        <w:t xml:space="preserve"> </w:t>
      </w:r>
      <w:r>
        <w:t>обчислення</w:t>
      </w:r>
      <w:r w:rsidRPr="008B21B7">
        <w:rPr>
          <w:spacing w:val="53"/>
        </w:rPr>
        <w:t xml:space="preserve"> </w:t>
      </w:r>
      <w:r>
        <w:t>податку</w:t>
      </w:r>
    </w:p>
    <w:p w:rsidR="00FF46FD" w:rsidRDefault="00AB05E9">
      <w:pPr>
        <w:pStyle w:val="a4"/>
        <w:numPr>
          <w:ilvl w:val="1"/>
          <w:numId w:val="1"/>
        </w:numPr>
        <w:tabs>
          <w:tab w:val="left" w:pos="563"/>
        </w:tabs>
        <w:spacing w:before="76"/>
        <w:ind w:right="109" w:firstLine="0"/>
        <w:jc w:val="both"/>
        <w:rPr>
          <w:sz w:val="24"/>
        </w:rPr>
      </w:pPr>
      <w:bookmarkStart w:id="6" w:name="5.1._Порядок_обчислення_суми_податку_виз"/>
      <w:bookmarkEnd w:id="6"/>
      <w:r>
        <w:rPr>
          <w:sz w:val="24"/>
        </w:rPr>
        <w:t>Порядок обчислення суми пода</w:t>
      </w:r>
      <w:r w:rsidR="008D397E">
        <w:rPr>
          <w:sz w:val="24"/>
        </w:rPr>
        <w:t xml:space="preserve">тку визначений підпунктом 266.7.1 </w:t>
      </w:r>
      <w:r>
        <w:rPr>
          <w:sz w:val="24"/>
        </w:rPr>
        <w:t>пункту</w:t>
      </w:r>
      <w:r>
        <w:rPr>
          <w:spacing w:val="60"/>
          <w:sz w:val="24"/>
        </w:rPr>
        <w:t xml:space="preserve"> </w:t>
      </w:r>
      <w:r>
        <w:rPr>
          <w:sz w:val="24"/>
        </w:rPr>
        <w:t>266</w:t>
      </w:r>
      <w:r w:rsidR="008D397E">
        <w:rPr>
          <w:sz w:val="24"/>
        </w:rPr>
        <w:t>.7.</w:t>
      </w:r>
      <w:r>
        <w:rPr>
          <w:sz w:val="24"/>
        </w:rPr>
        <w:t xml:space="preserve"> статті</w:t>
      </w:r>
      <w:r>
        <w:rPr>
          <w:spacing w:val="1"/>
          <w:sz w:val="24"/>
        </w:rPr>
        <w:t xml:space="preserve"> </w:t>
      </w:r>
      <w:bookmarkStart w:id="7" w:name="5.2._Порядок_обчислення_сум_податку_в_ра"/>
      <w:bookmarkEnd w:id="7"/>
      <w:r>
        <w:rPr>
          <w:sz w:val="24"/>
        </w:rPr>
        <w:t>266</w:t>
      </w:r>
      <w:r>
        <w:rPr>
          <w:spacing w:val="-1"/>
          <w:sz w:val="24"/>
        </w:rPr>
        <w:t xml:space="preserve"> </w:t>
      </w:r>
      <w:r>
        <w:rPr>
          <w:sz w:val="24"/>
        </w:rPr>
        <w:t>розділу</w:t>
      </w:r>
      <w:r>
        <w:rPr>
          <w:spacing w:val="-2"/>
          <w:sz w:val="24"/>
        </w:rPr>
        <w:t xml:space="preserve"> </w:t>
      </w:r>
      <w:r>
        <w:rPr>
          <w:sz w:val="24"/>
        </w:rPr>
        <w:t>XII Податкового кодексу України.</w:t>
      </w:r>
    </w:p>
    <w:p w:rsidR="00FF46FD" w:rsidRDefault="00AB05E9">
      <w:pPr>
        <w:pStyle w:val="a4"/>
        <w:numPr>
          <w:ilvl w:val="1"/>
          <w:numId w:val="1"/>
        </w:numPr>
        <w:tabs>
          <w:tab w:val="left" w:pos="607"/>
        </w:tabs>
        <w:ind w:right="106" w:firstLine="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обчислення</w:t>
      </w:r>
      <w:r>
        <w:rPr>
          <w:spacing w:val="1"/>
          <w:sz w:val="24"/>
        </w:rPr>
        <w:t xml:space="preserve"> </w:t>
      </w:r>
      <w:r>
        <w:rPr>
          <w:sz w:val="24"/>
        </w:rPr>
        <w:t>сум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зміни</w:t>
      </w:r>
      <w:r>
        <w:rPr>
          <w:spacing w:val="1"/>
          <w:sz w:val="24"/>
        </w:rPr>
        <w:t xml:space="preserve"> </w:t>
      </w:r>
      <w:r>
        <w:rPr>
          <w:sz w:val="24"/>
        </w:rPr>
        <w:t>власника</w:t>
      </w:r>
      <w:r>
        <w:rPr>
          <w:spacing w:val="1"/>
          <w:sz w:val="24"/>
        </w:rPr>
        <w:t xml:space="preserve"> </w:t>
      </w:r>
      <w:r>
        <w:rPr>
          <w:sz w:val="24"/>
        </w:rPr>
        <w:t>об’єкта</w:t>
      </w:r>
      <w:r>
        <w:rPr>
          <w:spacing w:val="1"/>
          <w:sz w:val="24"/>
        </w:rPr>
        <w:t xml:space="preserve"> </w:t>
      </w:r>
      <w:r>
        <w:rPr>
          <w:sz w:val="24"/>
        </w:rPr>
        <w:t>оподаткування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податком визначений підпунктом 266.8 пункту 266 статті 266 розділу XII Податкового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кодексу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України.</w:t>
      </w:r>
    </w:p>
    <w:p w:rsidR="00FF46FD" w:rsidRDefault="00FF46FD">
      <w:pPr>
        <w:pStyle w:val="a3"/>
        <w:ind w:left="0"/>
      </w:pPr>
    </w:p>
    <w:p w:rsidR="00FF46FD" w:rsidRDefault="00AB05E9">
      <w:pPr>
        <w:pStyle w:val="1"/>
        <w:numPr>
          <w:ilvl w:val="0"/>
          <w:numId w:val="1"/>
        </w:numPr>
        <w:tabs>
          <w:tab w:val="left" w:pos="342"/>
        </w:tabs>
        <w:ind w:hanging="241"/>
        <w:jc w:val="both"/>
      </w:pPr>
      <w:r>
        <w:t>Податковий</w:t>
      </w:r>
      <w:r>
        <w:rPr>
          <w:spacing w:val="-4"/>
        </w:rPr>
        <w:t xml:space="preserve"> </w:t>
      </w:r>
      <w:r>
        <w:t>період</w:t>
      </w:r>
    </w:p>
    <w:p w:rsidR="00FF46FD" w:rsidRDefault="00AB05E9">
      <w:pPr>
        <w:pStyle w:val="a3"/>
        <w:jc w:val="both"/>
      </w:pPr>
      <w:r>
        <w:t>Базовий</w:t>
      </w:r>
      <w:r>
        <w:rPr>
          <w:spacing w:val="-5"/>
        </w:rPr>
        <w:t xml:space="preserve"> </w:t>
      </w:r>
      <w:r>
        <w:t>податковий</w:t>
      </w:r>
      <w:r>
        <w:rPr>
          <w:spacing w:val="-4"/>
        </w:rPr>
        <w:t xml:space="preserve"> </w:t>
      </w:r>
      <w:r>
        <w:t>(звітний)</w:t>
      </w:r>
      <w:r>
        <w:rPr>
          <w:spacing w:val="-3"/>
        </w:rPr>
        <w:t xml:space="preserve"> </w:t>
      </w:r>
      <w:r>
        <w:t>період</w:t>
      </w:r>
      <w:r>
        <w:rPr>
          <w:spacing w:val="-3"/>
        </w:rPr>
        <w:t xml:space="preserve"> </w:t>
      </w:r>
      <w:r>
        <w:t>дорівнює</w:t>
      </w:r>
      <w:r>
        <w:rPr>
          <w:spacing w:val="-3"/>
        </w:rPr>
        <w:t xml:space="preserve"> </w:t>
      </w:r>
      <w:r>
        <w:t>календарному</w:t>
      </w:r>
      <w:r>
        <w:rPr>
          <w:spacing w:val="-3"/>
        </w:rPr>
        <w:t xml:space="preserve"> </w:t>
      </w:r>
      <w:r>
        <w:t>року.</w:t>
      </w:r>
    </w:p>
    <w:p w:rsidR="00FF46FD" w:rsidRDefault="00FF46FD">
      <w:pPr>
        <w:pStyle w:val="a3"/>
        <w:ind w:left="0"/>
      </w:pPr>
    </w:p>
    <w:p w:rsidR="00FF46FD" w:rsidRDefault="00AB05E9">
      <w:pPr>
        <w:pStyle w:val="1"/>
        <w:numPr>
          <w:ilvl w:val="0"/>
          <w:numId w:val="1"/>
        </w:numPr>
        <w:tabs>
          <w:tab w:val="left" w:pos="342"/>
        </w:tabs>
        <w:ind w:hanging="241"/>
      </w:pPr>
      <w:bookmarkStart w:id="8" w:name="7._Строки__та__порядок__сплати___податку"/>
      <w:bookmarkEnd w:id="8"/>
      <w:r>
        <w:t>Строки</w:t>
      </w:r>
      <w:r>
        <w:rPr>
          <w:spacing w:val="55"/>
        </w:rPr>
        <w:t xml:space="preserve"> </w:t>
      </w:r>
      <w:r>
        <w:t>та</w:t>
      </w:r>
      <w:r>
        <w:rPr>
          <w:spacing w:val="56"/>
        </w:rPr>
        <w:t xml:space="preserve"> </w:t>
      </w:r>
      <w:r>
        <w:t>порядок</w:t>
      </w:r>
      <w:r>
        <w:rPr>
          <w:spacing w:val="55"/>
        </w:rPr>
        <w:t xml:space="preserve"> </w:t>
      </w:r>
      <w:r>
        <w:t>сплати</w:t>
      </w:r>
      <w:r>
        <w:rPr>
          <w:spacing w:val="115"/>
        </w:rPr>
        <w:t xml:space="preserve"> </w:t>
      </w:r>
      <w:r>
        <w:t>податку</w:t>
      </w:r>
    </w:p>
    <w:p w:rsidR="00FF46FD" w:rsidRDefault="00AB05E9">
      <w:pPr>
        <w:pStyle w:val="a4"/>
        <w:numPr>
          <w:ilvl w:val="1"/>
          <w:numId w:val="1"/>
        </w:numPr>
        <w:tabs>
          <w:tab w:val="left" w:pos="544"/>
        </w:tabs>
        <w:ind w:right="106" w:firstLine="0"/>
        <w:rPr>
          <w:sz w:val="24"/>
        </w:rPr>
      </w:pPr>
      <w:r>
        <w:rPr>
          <w:sz w:val="24"/>
        </w:rPr>
        <w:t>Порядок</w:t>
      </w:r>
      <w:r>
        <w:rPr>
          <w:spacing w:val="18"/>
          <w:sz w:val="24"/>
        </w:rPr>
        <w:t xml:space="preserve"> </w:t>
      </w:r>
      <w:r>
        <w:rPr>
          <w:sz w:val="24"/>
        </w:rPr>
        <w:t>сплати</w:t>
      </w:r>
      <w:r>
        <w:rPr>
          <w:spacing w:val="18"/>
          <w:sz w:val="24"/>
        </w:rPr>
        <w:t xml:space="preserve"> </w:t>
      </w:r>
      <w:r>
        <w:rPr>
          <w:sz w:val="24"/>
        </w:rPr>
        <w:t>податку</w:t>
      </w:r>
      <w:r>
        <w:rPr>
          <w:spacing w:val="18"/>
          <w:sz w:val="24"/>
        </w:rPr>
        <w:t xml:space="preserve"> </w:t>
      </w:r>
      <w:r>
        <w:rPr>
          <w:sz w:val="24"/>
        </w:rPr>
        <w:t>визначений</w:t>
      </w:r>
      <w:r>
        <w:rPr>
          <w:spacing w:val="18"/>
          <w:sz w:val="24"/>
        </w:rPr>
        <w:t xml:space="preserve"> </w:t>
      </w:r>
      <w:r>
        <w:rPr>
          <w:sz w:val="24"/>
        </w:rPr>
        <w:t>підпунктом</w:t>
      </w:r>
      <w:r>
        <w:rPr>
          <w:spacing w:val="20"/>
          <w:sz w:val="24"/>
        </w:rPr>
        <w:t xml:space="preserve"> </w:t>
      </w:r>
      <w:r>
        <w:rPr>
          <w:sz w:val="24"/>
        </w:rPr>
        <w:t>266.9</w:t>
      </w:r>
      <w:r>
        <w:rPr>
          <w:spacing w:val="18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18"/>
          <w:sz w:val="24"/>
        </w:rPr>
        <w:t xml:space="preserve"> </w:t>
      </w:r>
      <w:r>
        <w:rPr>
          <w:sz w:val="24"/>
        </w:rPr>
        <w:t>266</w:t>
      </w:r>
      <w:r>
        <w:rPr>
          <w:spacing w:val="18"/>
          <w:sz w:val="24"/>
        </w:rPr>
        <w:t xml:space="preserve"> </w:t>
      </w:r>
      <w:r>
        <w:rPr>
          <w:sz w:val="24"/>
        </w:rPr>
        <w:t>статті</w:t>
      </w:r>
      <w:r>
        <w:rPr>
          <w:spacing w:val="19"/>
          <w:sz w:val="24"/>
        </w:rPr>
        <w:t xml:space="preserve"> </w:t>
      </w:r>
      <w:r>
        <w:rPr>
          <w:sz w:val="24"/>
        </w:rPr>
        <w:t>266</w:t>
      </w:r>
      <w:r>
        <w:rPr>
          <w:spacing w:val="19"/>
          <w:sz w:val="24"/>
        </w:rPr>
        <w:t xml:space="preserve"> </w:t>
      </w:r>
      <w:r>
        <w:rPr>
          <w:sz w:val="24"/>
        </w:rPr>
        <w:t>розділу</w:t>
      </w:r>
      <w:r>
        <w:rPr>
          <w:spacing w:val="-57"/>
          <w:sz w:val="24"/>
        </w:rPr>
        <w:t xml:space="preserve"> </w:t>
      </w:r>
      <w:r>
        <w:rPr>
          <w:sz w:val="24"/>
        </w:rPr>
        <w:t>XII</w:t>
      </w:r>
      <w:r>
        <w:rPr>
          <w:spacing w:val="-1"/>
          <w:sz w:val="24"/>
        </w:rPr>
        <w:t xml:space="preserve"> </w:t>
      </w:r>
      <w:r>
        <w:rPr>
          <w:sz w:val="24"/>
        </w:rPr>
        <w:t>Податкового кодексу України.</w:t>
      </w:r>
    </w:p>
    <w:p w:rsidR="00FF46FD" w:rsidRDefault="00AB05E9">
      <w:pPr>
        <w:pStyle w:val="a4"/>
        <w:numPr>
          <w:ilvl w:val="1"/>
          <w:numId w:val="1"/>
        </w:numPr>
        <w:tabs>
          <w:tab w:val="left" w:pos="541"/>
        </w:tabs>
        <w:ind w:right="107" w:firstLine="0"/>
        <w:rPr>
          <w:sz w:val="24"/>
        </w:rPr>
      </w:pPr>
      <w:r>
        <w:rPr>
          <w:sz w:val="24"/>
        </w:rPr>
        <w:t>Строки</w:t>
      </w:r>
      <w:r>
        <w:rPr>
          <w:spacing w:val="17"/>
          <w:sz w:val="24"/>
        </w:rPr>
        <w:t xml:space="preserve"> </w:t>
      </w:r>
      <w:r>
        <w:rPr>
          <w:sz w:val="24"/>
        </w:rPr>
        <w:t>сплати</w:t>
      </w:r>
      <w:r>
        <w:rPr>
          <w:spacing w:val="17"/>
          <w:sz w:val="24"/>
        </w:rPr>
        <w:t xml:space="preserve"> </w:t>
      </w:r>
      <w:r>
        <w:rPr>
          <w:sz w:val="24"/>
        </w:rPr>
        <w:t>податку</w:t>
      </w:r>
      <w:r>
        <w:rPr>
          <w:spacing w:val="16"/>
          <w:sz w:val="24"/>
        </w:rPr>
        <w:t xml:space="preserve"> </w:t>
      </w:r>
      <w:r>
        <w:rPr>
          <w:sz w:val="24"/>
        </w:rPr>
        <w:t>встановлені</w:t>
      </w:r>
      <w:r>
        <w:rPr>
          <w:spacing w:val="17"/>
          <w:sz w:val="24"/>
        </w:rPr>
        <w:t xml:space="preserve"> </w:t>
      </w:r>
      <w:r>
        <w:rPr>
          <w:sz w:val="24"/>
        </w:rPr>
        <w:t>підпунктом</w:t>
      </w:r>
      <w:r>
        <w:rPr>
          <w:spacing w:val="16"/>
          <w:sz w:val="24"/>
        </w:rPr>
        <w:t xml:space="preserve"> </w:t>
      </w:r>
      <w:r>
        <w:rPr>
          <w:sz w:val="24"/>
        </w:rPr>
        <w:t>266.10</w:t>
      </w:r>
      <w:r>
        <w:rPr>
          <w:spacing w:val="17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17"/>
          <w:sz w:val="24"/>
        </w:rPr>
        <w:t xml:space="preserve"> </w:t>
      </w:r>
      <w:r>
        <w:rPr>
          <w:sz w:val="24"/>
        </w:rPr>
        <w:t>266</w:t>
      </w:r>
      <w:r>
        <w:rPr>
          <w:spacing w:val="17"/>
          <w:sz w:val="24"/>
        </w:rPr>
        <w:t xml:space="preserve"> </w:t>
      </w:r>
      <w:r>
        <w:rPr>
          <w:sz w:val="24"/>
        </w:rPr>
        <w:t>статті</w:t>
      </w:r>
      <w:r>
        <w:rPr>
          <w:spacing w:val="17"/>
          <w:sz w:val="24"/>
        </w:rPr>
        <w:t xml:space="preserve"> </w:t>
      </w:r>
      <w:r>
        <w:rPr>
          <w:sz w:val="24"/>
        </w:rPr>
        <w:t>266</w:t>
      </w:r>
      <w:r>
        <w:rPr>
          <w:spacing w:val="17"/>
          <w:sz w:val="24"/>
        </w:rPr>
        <w:t xml:space="preserve"> </w:t>
      </w:r>
      <w:r>
        <w:rPr>
          <w:sz w:val="24"/>
        </w:rPr>
        <w:t>розділу</w:t>
      </w:r>
      <w:r>
        <w:rPr>
          <w:spacing w:val="-57"/>
          <w:sz w:val="24"/>
        </w:rPr>
        <w:t xml:space="preserve"> </w:t>
      </w:r>
      <w:r>
        <w:rPr>
          <w:sz w:val="24"/>
        </w:rPr>
        <w:t>XII</w:t>
      </w:r>
      <w:r>
        <w:rPr>
          <w:spacing w:val="-1"/>
          <w:sz w:val="24"/>
        </w:rPr>
        <w:t xml:space="preserve"> </w:t>
      </w:r>
      <w:r>
        <w:rPr>
          <w:sz w:val="24"/>
        </w:rPr>
        <w:t>Податкового кодексу України.</w:t>
      </w:r>
    </w:p>
    <w:p w:rsidR="00FF46FD" w:rsidRDefault="00FF46FD">
      <w:pPr>
        <w:pStyle w:val="a3"/>
        <w:ind w:left="0"/>
      </w:pPr>
    </w:p>
    <w:p w:rsidR="00FF46FD" w:rsidRDefault="00AB05E9">
      <w:pPr>
        <w:pStyle w:val="1"/>
        <w:numPr>
          <w:ilvl w:val="0"/>
          <w:numId w:val="1"/>
        </w:numPr>
        <w:tabs>
          <w:tab w:val="left" w:pos="342"/>
        </w:tabs>
        <w:ind w:hanging="241"/>
        <w:jc w:val="both"/>
      </w:pPr>
      <w:r>
        <w:t>Строк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подання</w:t>
      </w:r>
      <w:r>
        <w:rPr>
          <w:spacing w:val="-5"/>
        </w:rPr>
        <w:t xml:space="preserve"> </w:t>
      </w:r>
      <w:r>
        <w:t>звітності</w:t>
      </w:r>
      <w:r>
        <w:rPr>
          <w:spacing w:val="-3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обчислення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сплату</w:t>
      </w:r>
      <w:r>
        <w:rPr>
          <w:spacing w:val="-3"/>
        </w:rPr>
        <w:t xml:space="preserve"> </w:t>
      </w:r>
      <w:r>
        <w:t>податку</w:t>
      </w:r>
    </w:p>
    <w:p w:rsidR="00FF46FD" w:rsidRDefault="00AB05E9">
      <w:pPr>
        <w:pStyle w:val="a3"/>
        <w:ind w:right="106"/>
        <w:jc w:val="both"/>
      </w:pPr>
      <w:r>
        <w:t>Строк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подання</w:t>
      </w:r>
      <w:r>
        <w:rPr>
          <w:spacing w:val="1"/>
        </w:rPr>
        <w:t xml:space="preserve"> </w:t>
      </w:r>
      <w:r>
        <w:t>звітності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обчислення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сплату</w:t>
      </w:r>
      <w:r>
        <w:rPr>
          <w:spacing w:val="1"/>
        </w:rPr>
        <w:t xml:space="preserve"> </w:t>
      </w:r>
      <w:r>
        <w:t>податку</w:t>
      </w:r>
      <w:r>
        <w:rPr>
          <w:spacing w:val="1"/>
        </w:rPr>
        <w:t xml:space="preserve"> </w:t>
      </w:r>
      <w:r>
        <w:t>платниками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юридичними особами визначений підпунктом 266.7.5. підпункту 266.7 статті 266 розділу</w:t>
      </w:r>
      <w:r>
        <w:rPr>
          <w:spacing w:val="1"/>
        </w:rPr>
        <w:t xml:space="preserve"> </w:t>
      </w:r>
      <w:r>
        <w:t>XII</w:t>
      </w:r>
      <w:r>
        <w:rPr>
          <w:spacing w:val="-1"/>
        </w:rPr>
        <w:t xml:space="preserve"> </w:t>
      </w:r>
      <w:r>
        <w:t>Податкового кодексу України.</w:t>
      </w:r>
    </w:p>
    <w:p w:rsidR="00FF46FD" w:rsidRDefault="00FF46FD">
      <w:pPr>
        <w:pStyle w:val="a3"/>
        <w:spacing w:before="2"/>
        <w:ind w:left="0"/>
        <w:rPr>
          <w:sz w:val="16"/>
        </w:rPr>
      </w:pPr>
    </w:p>
    <w:p w:rsidR="00FF46FD" w:rsidRDefault="00FF46FD">
      <w:pPr>
        <w:pStyle w:val="a3"/>
        <w:ind w:left="0"/>
        <w:rPr>
          <w:b/>
        </w:rPr>
      </w:pPr>
    </w:p>
    <w:p w:rsidR="00ED05AF" w:rsidRDefault="00ED05AF">
      <w:pPr>
        <w:pStyle w:val="a3"/>
        <w:ind w:left="0"/>
        <w:rPr>
          <w:b/>
        </w:rPr>
      </w:pPr>
    </w:p>
    <w:p w:rsidR="00FF46FD" w:rsidRDefault="00AB05E9">
      <w:pPr>
        <w:pStyle w:val="a3"/>
        <w:tabs>
          <w:tab w:val="left" w:pos="7056"/>
        </w:tabs>
        <w:ind w:left="281"/>
      </w:pPr>
      <w:r>
        <w:t>Секретар</w:t>
      </w:r>
      <w:r>
        <w:rPr>
          <w:spacing w:val="-2"/>
        </w:rPr>
        <w:t xml:space="preserve"> </w:t>
      </w:r>
      <w:r w:rsidR="004071BA">
        <w:t>сільської</w:t>
      </w:r>
      <w:r>
        <w:rPr>
          <w:spacing w:val="-2"/>
        </w:rPr>
        <w:t xml:space="preserve"> </w:t>
      </w:r>
      <w:r>
        <w:t>ради</w:t>
      </w:r>
      <w:r>
        <w:tab/>
      </w:r>
      <w:r w:rsidR="004071BA">
        <w:t>Валентина ГУЛЛА</w:t>
      </w:r>
    </w:p>
    <w:sectPr w:rsidR="00FF46FD">
      <w:pgSz w:w="11910" w:h="16840"/>
      <w:pgMar w:top="1040" w:right="74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967FA"/>
    <w:multiLevelType w:val="multilevel"/>
    <w:tmpl w:val="4B4C3B20"/>
    <w:lvl w:ilvl="0">
      <w:start w:val="1"/>
      <w:numFmt w:val="decimal"/>
      <w:lvlText w:val="%1."/>
      <w:lvlJc w:val="left"/>
      <w:pPr>
        <w:ind w:left="34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4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365" w:hanging="4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390" w:hanging="4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15" w:hanging="4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0" w:hanging="4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65" w:hanging="4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490" w:hanging="4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16" w:hanging="4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FD"/>
    <w:rsid w:val="001F0414"/>
    <w:rsid w:val="0020468D"/>
    <w:rsid w:val="003046E2"/>
    <w:rsid w:val="004071BA"/>
    <w:rsid w:val="005E3CBB"/>
    <w:rsid w:val="00720C7A"/>
    <w:rsid w:val="008B21B7"/>
    <w:rsid w:val="008D397E"/>
    <w:rsid w:val="00915BC8"/>
    <w:rsid w:val="009C717F"/>
    <w:rsid w:val="00AB05E9"/>
    <w:rsid w:val="00AB74CA"/>
    <w:rsid w:val="00DE13E0"/>
    <w:rsid w:val="00ED05AF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4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C71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717F"/>
    <w:rPr>
      <w:rFonts w:ascii="Segoe UI" w:eastAsia="Times New Roman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4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C71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717F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Larisa</cp:lastModifiedBy>
  <cp:revision>11</cp:revision>
  <cp:lastPrinted>2022-06-22T08:34:00Z</cp:lastPrinted>
  <dcterms:created xsi:type="dcterms:W3CDTF">2021-06-10T12:15:00Z</dcterms:created>
  <dcterms:modified xsi:type="dcterms:W3CDTF">2023-06-02T09:13:00Z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2021-06-02T00:00:00Z</vt:filetime>
  </property>
</Properties>
</file>