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FD" w:rsidRPr="00DA41FF" w:rsidRDefault="00E75FFD" w:rsidP="00272D3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>АНАЛІ</w:t>
      </w:r>
      <w:proofErr w:type="gramStart"/>
      <w:r w:rsidRPr="00DA41FF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DA41FF">
        <w:rPr>
          <w:rFonts w:ascii="Times New Roman" w:hAnsi="Times New Roman" w:cs="Times New Roman"/>
          <w:b/>
          <w:sz w:val="26"/>
          <w:szCs w:val="26"/>
        </w:rPr>
        <w:t xml:space="preserve"> РЕГУЛЯТОРНОГО ВПЛИВУ</w:t>
      </w:r>
    </w:p>
    <w:p w:rsidR="00E75FFD" w:rsidRPr="00DA41FF" w:rsidRDefault="00E75FFD" w:rsidP="00672E3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</w:t>
      </w:r>
      <w:proofErr w:type="spellStart"/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t>проєкту</w:t>
      </w:r>
      <w:proofErr w:type="spellEnd"/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рішення Піщанської сільської територіальної громади </w:t>
      </w:r>
    </w:p>
    <w:p w:rsidR="00DA41FF" w:rsidRPr="00CD53F8" w:rsidRDefault="00E75FFD" w:rsidP="00DA41FF">
      <w:pPr>
        <w:pStyle w:val="Heading1"/>
        <w:ind w:left="861" w:firstLine="0"/>
        <w:jc w:val="center"/>
        <w:rPr>
          <w:spacing w:val="-14"/>
          <w:sz w:val="26"/>
          <w:szCs w:val="26"/>
        </w:rPr>
      </w:pPr>
      <w:r w:rsidRPr="00DA41FF">
        <w:rPr>
          <w:sz w:val="26"/>
          <w:szCs w:val="26"/>
        </w:rPr>
        <w:t>«Про затвердження Правил</w:t>
      </w:r>
      <w:r w:rsidR="00DA41FF" w:rsidRPr="00DA41FF">
        <w:rPr>
          <w:sz w:val="26"/>
          <w:szCs w:val="26"/>
        </w:rPr>
        <w:t xml:space="preserve"> </w:t>
      </w:r>
      <w:r w:rsidR="00DA41FF" w:rsidRPr="00CD53F8">
        <w:rPr>
          <w:sz w:val="26"/>
          <w:szCs w:val="26"/>
        </w:rPr>
        <w:t>благоустрою</w:t>
      </w:r>
      <w:r w:rsidR="00DA41FF" w:rsidRPr="00CD53F8">
        <w:rPr>
          <w:spacing w:val="-14"/>
          <w:sz w:val="26"/>
          <w:szCs w:val="26"/>
        </w:rPr>
        <w:t xml:space="preserve"> </w:t>
      </w:r>
      <w:r w:rsidR="00DA41FF" w:rsidRPr="00CD53F8">
        <w:rPr>
          <w:sz w:val="26"/>
          <w:szCs w:val="26"/>
        </w:rPr>
        <w:t>території</w:t>
      </w:r>
      <w:r w:rsidR="00DA41FF" w:rsidRPr="00CD53F8">
        <w:rPr>
          <w:spacing w:val="-14"/>
          <w:sz w:val="26"/>
          <w:szCs w:val="26"/>
        </w:rPr>
        <w:t xml:space="preserve"> населенних пунктів</w:t>
      </w:r>
    </w:p>
    <w:p w:rsidR="00E75FFD" w:rsidRPr="00DA41FF" w:rsidRDefault="00DA41FF" w:rsidP="00DA41FF">
      <w:pPr>
        <w:pStyle w:val="Heading1"/>
        <w:ind w:left="861" w:firstLine="0"/>
        <w:jc w:val="center"/>
        <w:rPr>
          <w:sz w:val="26"/>
          <w:szCs w:val="26"/>
        </w:rPr>
      </w:pPr>
      <w:r w:rsidRPr="00CD53F8">
        <w:rPr>
          <w:sz w:val="26"/>
          <w:szCs w:val="26"/>
        </w:rPr>
        <w:t>Піщанської сільської</w:t>
      </w:r>
      <w:r w:rsidRPr="00CD53F8">
        <w:rPr>
          <w:spacing w:val="-13"/>
          <w:sz w:val="26"/>
          <w:szCs w:val="26"/>
        </w:rPr>
        <w:t xml:space="preserve"> </w:t>
      </w:r>
      <w:r w:rsidRPr="00CD53F8">
        <w:rPr>
          <w:sz w:val="26"/>
          <w:szCs w:val="26"/>
        </w:rPr>
        <w:t>територіальної</w:t>
      </w:r>
      <w:r w:rsidRPr="00CD53F8">
        <w:rPr>
          <w:spacing w:val="-13"/>
          <w:sz w:val="26"/>
          <w:szCs w:val="26"/>
        </w:rPr>
        <w:t xml:space="preserve"> </w:t>
      </w:r>
      <w:r w:rsidRPr="00CD53F8">
        <w:rPr>
          <w:sz w:val="26"/>
          <w:szCs w:val="26"/>
        </w:rPr>
        <w:t>громади</w:t>
      </w:r>
      <w:r w:rsidR="00E75FFD" w:rsidRPr="00DA41FF">
        <w:rPr>
          <w:sz w:val="26"/>
          <w:szCs w:val="26"/>
        </w:rPr>
        <w:t>»</w:t>
      </w:r>
    </w:p>
    <w:p w:rsidR="00672E35" w:rsidRPr="00DA41FF" w:rsidRDefault="00672E35" w:rsidP="00672E3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75FFD" w:rsidRPr="00DA41FF" w:rsidRDefault="00077B95" w:rsidP="00DA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Аналіз регуляторного впливу до </w:t>
      </w:r>
      <w:proofErr w:type="spellStart"/>
      <w:r w:rsidRPr="00DA41FF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Піщанської сільської територіальної громади  «Про затвердження Правил </w:t>
      </w:r>
      <w:r w:rsidR="00DA41FF" w:rsidRPr="00DA41FF">
        <w:rPr>
          <w:rFonts w:ascii="Times New Roman" w:hAnsi="Times New Roman" w:cs="Times New Roman"/>
          <w:sz w:val="26"/>
          <w:szCs w:val="26"/>
          <w:lang w:val="uk-UA"/>
        </w:rPr>
        <w:t>благоустрою</w:t>
      </w:r>
      <w:r w:rsidR="00DA41FF" w:rsidRPr="00DA41FF">
        <w:rPr>
          <w:rFonts w:ascii="Times New Roman" w:hAnsi="Times New Roman" w:cs="Times New Roman"/>
          <w:spacing w:val="-14"/>
          <w:sz w:val="26"/>
          <w:szCs w:val="26"/>
          <w:lang w:val="uk-UA"/>
        </w:rPr>
        <w:t xml:space="preserve"> </w:t>
      </w:r>
      <w:r w:rsidR="00DA41FF" w:rsidRPr="00DA41FF">
        <w:rPr>
          <w:rFonts w:ascii="Times New Roman" w:hAnsi="Times New Roman" w:cs="Times New Roman"/>
          <w:sz w:val="26"/>
          <w:szCs w:val="26"/>
          <w:lang w:val="uk-UA"/>
        </w:rPr>
        <w:t>території</w:t>
      </w:r>
      <w:r w:rsidR="00DA41FF" w:rsidRPr="00DA41FF">
        <w:rPr>
          <w:rFonts w:ascii="Times New Roman" w:hAnsi="Times New Roman" w:cs="Times New Roman"/>
          <w:spacing w:val="-14"/>
          <w:sz w:val="26"/>
          <w:szCs w:val="26"/>
          <w:lang w:val="uk-UA"/>
        </w:rPr>
        <w:t xml:space="preserve"> населенних пунктів </w:t>
      </w:r>
      <w:r w:rsidR="00DA41FF" w:rsidRPr="00DA41FF">
        <w:rPr>
          <w:rFonts w:ascii="Times New Roman" w:hAnsi="Times New Roman" w:cs="Times New Roman"/>
          <w:sz w:val="26"/>
          <w:szCs w:val="26"/>
          <w:lang w:val="uk-UA"/>
        </w:rPr>
        <w:t>Піщанської сільської</w:t>
      </w:r>
      <w:r w:rsidR="00DA41FF" w:rsidRPr="00DA41FF">
        <w:rPr>
          <w:rFonts w:ascii="Times New Roman" w:hAnsi="Times New Roman" w:cs="Times New Roman"/>
          <w:spacing w:val="-13"/>
          <w:sz w:val="26"/>
          <w:szCs w:val="26"/>
          <w:lang w:val="uk-UA"/>
        </w:rPr>
        <w:t xml:space="preserve"> </w:t>
      </w:r>
      <w:r w:rsidR="00DA41FF" w:rsidRPr="00DA41FF">
        <w:rPr>
          <w:rFonts w:ascii="Times New Roman" w:hAnsi="Times New Roman" w:cs="Times New Roman"/>
          <w:sz w:val="26"/>
          <w:szCs w:val="26"/>
          <w:lang w:val="uk-UA"/>
        </w:rPr>
        <w:t>територіальної</w:t>
      </w:r>
      <w:r w:rsidR="00DA41FF" w:rsidRPr="00DA41FF">
        <w:rPr>
          <w:rFonts w:ascii="Times New Roman" w:hAnsi="Times New Roman" w:cs="Times New Roman"/>
          <w:spacing w:val="-13"/>
          <w:sz w:val="26"/>
          <w:szCs w:val="26"/>
          <w:lang w:val="uk-UA"/>
        </w:rPr>
        <w:t xml:space="preserve"> </w:t>
      </w:r>
      <w:r w:rsidR="00DA41FF" w:rsidRPr="00DA41FF">
        <w:rPr>
          <w:rFonts w:ascii="Times New Roman" w:hAnsi="Times New Roman" w:cs="Times New Roman"/>
          <w:sz w:val="26"/>
          <w:szCs w:val="26"/>
          <w:lang w:val="uk-UA"/>
        </w:rPr>
        <w:t>громади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E75FFD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розроблений на виконання та з дотриманням вимог Закону України «Про засади державної регуляторної політики у сфері господарської діяльності» та Методики проведення аналізу впливу регуляторного акту, затвердженої постановою Кабінету Міністрів України від 11 березня 2004 року №308 «Про затвердження методик проведення аналізу впливу та відстеження результативності регуляторного акту» (зі змінами, далі - Методика). </w:t>
      </w:r>
    </w:p>
    <w:p w:rsidR="00E75FFD" w:rsidRPr="00DA41FF" w:rsidRDefault="00E75FFD" w:rsidP="00DA41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A41FF">
        <w:rPr>
          <w:rFonts w:ascii="Times New Roman" w:hAnsi="Times New Roman" w:cs="Times New Roman"/>
          <w:b/>
          <w:sz w:val="26"/>
          <w:szCs w:val="26"/>
        </w:rPr>
        <w:t>Регуляторний</w:t>
      </w:r>
      <w:proofErr w:type="spellEnd"/>
      <w:r w:rsidRPr="00DA41FF">
        <w:rPr>
          <w:rFonts w:ascii="Times New Roman" w:hAnsi="Times New Roman" w:cs="Times New Roman"/>
          <w:b/>
          <w:sz w:val="26"/>
          <w:szCs w:val="26"/>
        </w:rPr>
        <w:t xml:space="preserve"> орган</w:t>
      </w:r>
      <w:r w:rsidRPr="00DA41F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077B95" w:rsidRPr="00DA41FF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077B95" w:rsidRPr="00DA41FF">
        <w:rPr>
          <w:rFonts w:ascii="Times New Roman" w:hAnsi="Times New Roman" w:cs="Times New Roman"/>
          <w:sz w:val="26"/>
          <w:szCs w:val="26"/>
          <w:lang w:val="uk-UA"/>
        </w:rPr>
        <w:t>іщанська сільська рада</w:t>
      </w:r>
      <w:r w:rsidRPr="00DA41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41FF" w:rsidRDefault="00E75FFD" w:rsidP="00DA41F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>Розробник проекту регуляторного акта</w:t>
      </w:r>
      <w:r w:rsidRPr="00DA41FF">
        <w:rPr>
          <w:rFonts w:ascii="Times New Roman" w:hAnsi="Times New Roman" w:cs="Times New Roman"/>
          <w:sz w:val="26"/>
          <w:szCs w:val="26"/>
        </w:rPr>
        <w:t xml:space="preserve"> – </w:t>
      </w:r>
      <w:r w:rsidR="00AB6830">
        <w:rPr>
          <w:rFonts w:ascii="Times New Roman" w:hAnsi="Times New Roman" w:cs="Times New Roman"/>
          <w:sz w:val="26"/>
          <w:szCs w:val="26"/>
          <w:lang w:val="uk-UA"/>
        </w:rPr>
        <w:t>виконавчий апарат</w:t>
      </w:r>
      <w:r w:rsidR="00077B95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gramStart"/>
      <w:r w:rsidR="00077B95" w:rsidRPr="00DA41FF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077B95" w:rsidRPr="00DA41FF">
        <w:rPr>
          <w:rFonts w:ascii="Times New Roman" w:hAnsi="Times New Roman" w:cs="Times New Roman"/>
          <w:sz w:val="26"/>
          <w:szCs w:val="26"/>
          <w:lang w:val="uk-UA"/>
        </w:rPr>
        <w:t>іщанської сільської ради.</w:t>
      </w:r>
    </w:p>
    <w:p w:rsidR="00C478A1" w:rsidRPr="00DA41FF" w:rsidRDefault="00C478A1" w:rsidP="00DA41F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>I. Визначення проблеми</w:t>
      </w:r>
    </w:p>
    <w:p w:rsidR="00DA41FF" w:rsidRDefault="00C478A1" w:rsidP="00DA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</w:rPr>
        <w:t xml:space="preserve">Правила благоустрою на території </w:t>
      </w:r>
      <w:proofErr w:type="gramStart"/>
      <w:r w:rsidRPr="00DA41FF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іщанської сільської </w:t>
      </w:r>
      <w:r w:rsidRPr="00DA41FF">
        <w:rPr>
          <w:rFonts w:ascii="Times New Roman" w:hAnsi="Times New Roman" w:cs="Times New Roman"/>
          <w:sz w:val="26"/>
          <w:szCs w:val="26"/>
        </w:rPr>
        <w:t xml:space="preserve"> ради (далі - Правила) -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нормативно-правовий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акт, яким встановлюються вимоги щодо благоустрою території </w:t>
      </w:r>
      <w:r w:rsidR="00FA6EFF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Піщанської сільської </w:t>
      </w:r>
      <w:r w:rsidRPr="00DA41FF">
        <w:rPr>
          <w:rFonts w:ascii="Times New Roman" w:hAnsi="Times New Roman" w:cs="Times New Roman"/>
          <w:sz w:val="26"/>
          <w:szCs w:val="26"/>
        </w:rPr>
        <w:t xml:space="preserve"> ради. Пр</w:t>
      </w:r>
      <w:r w:rsidR="00FA6EFF" w:rsidRPr="00DA41FF">
        <w:rPr>
          <w:rFonts w:ascii="Times New Roman" w:hAnsi="Times New Roman" w:cs="Times New Roman"/>
          <w:sz w:val="26"/>
          <w:szCs w:val="26"/>
        </w:rPr>
        <w:t xml:space="preserve">авила </w:t>
      </w:r>
      <w:proofErr w:type="spellStart"/>
      <w:r w:rsidR="00FA6EFF" w:rsidRPr="00DA41FF">
        <w:rPr>
          <w:rFonts w:ascii="Times New Roman" w:hAnsi="Times New Roman" w:cs="Times New Roman"/>
          <w:sz w:val="26"/>
          <w:szCs w:val="26"/>
        </w:rPr>
        <w:t>розроблені</w:t>
      </w:r>
      <w:proofErr w:type="spellEnd"/>
      <w:r w:rsidR="00FA6EFF" w:rsidRPr="00DA41FF">
        <w:rPr>
          <w:rFonts w:ascii="Times New Roman" w:hAnsi="Times New Roman" w:cs="Times New Roman"/>
          <w:sz w:val="26"/>
          <w:szCs w:val="26"/>
        </w:rPr>
        <w:t xml:space="preserve"> відповідно до </w:t>
      </w:r>
      <w:r w:rsidR="00FA6EFF" w:rsidRPr="00DA41FF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аконів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України «Про місцеве самоврядування в Україні», «Про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благоустрій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населених пунктів», «Про охорону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навколишнього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природнього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», «Про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відходи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», з метою забезпечення благоустрою населених пунктів </w:t>
      </w:r>
      <w:proofErr w:type="gramStart"/>
      <w:r w:rsidR="00FA6EFF" w:rsidRPr="00DA41FF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FA6EFF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іщанської сільської </w:t>
      </w:r>
      <w:r w:rsidRPr="00DA41FF">
        <w:rPr>
          <w:rFonts w:ascii="Times New Roman" w:hAnsi="Times New Roman" w:cs="Times New Roman"/>
          <w:sz w:val="26"/>
          <w:szCs w:val="26"/>
        </w:rPr>
        <w:t xml:space="preserve"> ради,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відповідальності посадових осіб підприємств, установ, організацій всіх форм власності, а також громадян за стан благоустрою та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санітарний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стан, формування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сприятливого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життєдіяльності людини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, захисту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довкілля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покращення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санітарного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стану, збереження об’єктів та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елементів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благоустрою,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зелених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насаджень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на території </w:t>
      </w:r>
      <w:proofErr w:type="gramStart"/>
      <w:r w:rsidR="00FA6EFF" w:rsidRPr="00DA41FF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FA6EFF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іщанської сільської </w:t>
      </w:r>
      <w:r w:rsidRPr="00DA41FF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B27DF6" w:rsidRPr="00DA41FF" w:rsidRDefault="000D77CD" w:rsidP="00DA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Благоустрій та території </w:t>
      </w:r>
      <w:r w:rsidR="00B27DF6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Піщанської сільської 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ради передбачає: </w:t>
      </w:r>
    </w:p>
    <w:p w:rsidR="00B27DF6" w:rsidRPr="00DA41FF" w:rsidRDefault="000D77CD" w:rsidP="00DA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- розроблення і здійснення ефективних і комплексних заходів з утримання території населених пунктів </w:t>
      </w:r>
      <w:r w:rsidR="00B27DF6" w:rsidRPr="00DA41FF">
        <w:rPr>
          <w:rFonts w:ascii="Times New Roman" w:hAnsi="Times New Roman" w:cs="Times New Roman"/>
          <w:sz w:val="26"/>
          <w:szCs w:val="26"/>
          <w:lang w:val="uk-UA"/>
        </w:rPr>
        <w:t>Піщанської сільської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ради у належному стані, її санітарного очищення, збереження об’єктів загального користування, а також природних ландшафтів, інши</w:t>
      </w:r>
      <w:r w:rsidR="00B27DF6" w:rsidRPr="00DA41FF">
        <w:rPr>
          <w:rFonts w:ascii="Times New Roman" w:hAnsi="Times New Roman" w:cs="Times New Roman"/>
          <w:sz w:val="26"/>
          <w:szCs w:val="26"/>
          <w:lang w:val="uk-UA"/>
        </w:rPr>
        <w:t>х природних об’єктів;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27DF6" w:rsidRPr="00DA41FF" w:rsidRDefault="00B27DF6" w:rsidP="00DA41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>- організацію належного утримання та раціонального використання території, будівель, природоохоронного, історико-культурного та іншого призначення;</w:t>
      </w:r>
    </w:p>
    <w:p w:rsidR="0054465D" w:rsidRDefault="00B27DF6" w:rsidP="005446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- створення умов для реалізації прав та виконання обов’язків суб’єктами у сфері благоустрою населених пунктів.</w:t>
      </w:r>
    </w:p>
    <w:p w:rsidR="0054465D" w:rsidRPr="00DA41FF" w:rsidRDefault="0054465D" w:rsidP="005446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27DF6" w:rsidRPr="00DA41FF" w:rsidTr="00B27DF6">
        <w:tc>
          <w:tcPr>
            <w:tcW w:w="3190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Групи (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підгрупи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B27DF6" w:rsidRPr="0054465D" w:rsidRDefault="00B27DF6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3191" w:type="dxa"/>
          </w:tcPr>
          <w:p w:rsidR="00B27DF6" w:rsidRPr="0054465D" w:rsidRDefault="00B27DF6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</w:tr>
      <w:tr w:rsidR="00B27DF6" w:rsidRPr="00DA41FF" w:rsidTr="00B27DF6">
        <w:tc>
          <w:tcPr>
            <w:tcW w:w="3190" w:type="dxa"/>
          </w:tcPr>
          <w:p w:rsidR="00B27DF6" w:rsidRPr="0054465D" w:rsidRDefault="00456AF1" w:rsidP="00544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Громадяни</w:t>
            </w:r>
          </w:p>
        </w:tc>
        <w:tc>
          <w:tcPr>
            <w:tcW w:w="3190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91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B27DF6" w:rsidRPr="00DA41FF" w:rsidTr="00B27DF6">
        <w:tc>
          <w:tcPr>
            <w:tcW w:w="3190" w:type="dxa"/>
          </w:tcPr>
          <w:p w:rsidR="00B27DF6" w:rsidRPr="0054465D" w:rsidRDefault="00456AF1" w:rsidP="00544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3190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91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B27DF6" w:rsidRPr="00DA41FF" w:rsidTr="00B27DF6">
        <w:tc>
          <w:tcPr>
            <w:tcW w:w="3190" w:type="dxa"/>
          </w:tcPr>
          <w:p w:rsidR="00B27DF6" w:rsidRPr="0054465D" w:rsidRDefault="00456AF1" w:rsidP="00544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Суб’єкти господарювання, </w:t>
            </w:r>
            <w:proofErr w:type="gram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proofErr w:type="gram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числі суб’єкти малого підприємництва</w:t>
            </w:r>
          </w:p>
        </w:tc>
        <w:tc>
          <w:tcPr>
            <w:tcW w:w="3190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191" w:type="dxa"/>
          </w:tcPr>
          <w:p w:rsidR="00B27DF6" w:rsidRPr="0054465D" w:rsidRDefault="00456AF1" w:rsidP="0054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456AF1" w:rsidRPr="00DA41FF" w:rsidRDefault="00456AF1" w:rsidP="00272D30">
      <w:pPr>
        <w:ind w:left="709" w:hanging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ІІ. Цілі державного регулювання</w:t>
      </w:r>
    </w:p>
    <w:p w:rsidR="00456AF1" w:rsidRPr="00DA41FF" w:rsidRDefault="00A45FC5" w:rsidP="00DA41FF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Цілями запропонованого </w:t>
      </w:r>
      <w:proofErr w:type="spellStart"/>
      <w:r w:rsidRPr="00DA41FF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456AF1" w:rsidRPr="00DA41FF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456AF1"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рішення є:</w:t>
      </w:r>
    </w:p>
    <w:p w:rsidR="00456AF1" w:rsidRPr="00DA41FF" w:rsidRDefault="00456AF1" w:rsidP="00DA41FF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A41FF">
        <w:rPr>
          <w:rFonts w:ascii="Times New Roman" w:hAnsi="Times New Roman" w:cs="Times New Roman"/>
          <w:sz w:val="26"/>
          <w:szCs w:val="26"/>
        </w:rPr>
        <w:sym w:font="Symbol" w:char="F0B7"/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створення умов для практичної реалізації Закону; визначення правових, економічних, екологічних, соціальних та організаційних засад благоустрою території Піщанської сільської ради; </w:t>
      </w:r>
    </w:p>
    <w:p w:rsidR="00456AF1" w:rsidRPr="00DA41FF" w:rsidRDefault="00456AF1" w:rsidP="00DA41FF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</w:rPr>
        <w:sym w:font="Symbol" w:char="F0B7"/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порядку здійснення благоустрою та утримання територій об’єкті</w:t>
      </w:r>
      <w:r w:rsidR="00DA41FF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благоустрою; </w:t>
      </w:r>
    </w:p>
    <w:p w:rsidR="00456AF1" w:rsidRPr="00DA41FF" w:rsidRDefault="00456AF1" w:rsidP="00DA41FF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</w:rPr>
        <w:sym w:font="Symbol" w:char="F0B7"/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встановлення вимог до впорядкування територій підприємств, установ, організацій у сфері благоустрою населених пунктів; </w:t>
      </w:r>
    </w:p>
    <w:p w:rsidR="00456AF1" w:rsidRPr="00DA41FF" w:rsidRDefault="00456AF1" w:rsidP="00DA41FF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</w:rPr>
        <w:sym w:font="Symbol" w:char="F0B7"/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встановлення вимог до утримання зелених насаджень на об’єктах благоустрою-територіях загального користування; </w:t>
      </w:r>
    </w:p>
    <w:p w:rsidR="00D0331F" w:rsidRPr="00DA41FF" w:rsidRDefault="00D0331F" w:rsidP="00DA41FF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</w:rPr>
        <w:sym w:font="Symbol" w:char="F0B7"/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покращення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благоустрою та збереження </w:t>
      </w:r>
      <w:r w:rsidR="00990AD4" w:rsidRPr="00DA41FF">
        <w:rPr>
          <w:rFonts w:ascii="Times New Roman" w:hAnsi="Times New Roman" w:cs="Times New Roman"/>
          <w:sz w:val="26"/>
          <w:szCs w:val="26"/>
          <w:lang w:val="uk-UA"/>
        </w:rPr>
        <w:t>належ</w:t>
      </w:r>
      <w:r w:rsidRPr="00DA41FF">
        <w:rPr>
          <w:rFonts w:ascii="Times New Roman" w:hAnsi="Times New Roman" w:cs="Times New Roman"/>
          <w:sz w:val="26"/>
          <w:szCs w:val="26"/>
        </w:rPr>
        <w:t xml:space="preserve">ного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вигляду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</w:t>
      </w:r>
      <w:r w:rsidR="0054465D">
        <w:rPr>
          <w:rFonts w:ascii="Times New Roman" w:hAnsi="Times New Roman" w:cs="Times New Roman"/>
          <w:sz w:val="26"/>
          <w:szCs w:val="26"/>
          <w:lang w:val="uk-UA"/>
        </w:rPr>
        <w:t>населених пункті</w:t>
      </w:r>
      <w:proofErr w:type="gramStart"/>
      <w:r w:rsidR="0054465D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gramEnd"/>
      <w:r w:rsidRPr="00DA41F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D0331F" w:rsidRPr="00DA41FF" w:rsidRDefault="00D0331F" w:rsidP="00DA41FF">
      <w:pPr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</w:rPr>
        <w:sym w:font="Symbol" w:char="F0B7"/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A41FF">
        <w:rPr>
          <w:rFonts w:ascii="Times New Roman" w:hAnsi="Times New Roman" w:cs="Times New Roman"/>
          <w:sz w:val="26"/>
          <w:szCs w:val="26"/>
        </w:rPr>
        <w:t>ефективне</w:t>
      </w:r>
      <w:proofErr w:type="spellEnd"/>
      <w:r w:rsidRPr="00DA41FF">
        <w:rPr>
          <w:rFonts w:ascii="Times New Roman" w:hAnsi="Times New Roman" w:cs="Times New Roman"/>
          <w:sz w:val="26"/>
          <w:szCs w:val="26"/>
        </w:rPr>
        <w:t xml:space="preserve"> використання ресурсів територіальної громади</w:t>
      </w:r>
      <w:r w:rsidR="00A45FC5" w:rsidRPr="00DA41F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A41FF" w:rsidRPr="00DA41FF" w:rsidRDefault="00DA41FF" w:rsidP="00DA41FF">
      <w:pPr>
        <w:spacing w:after="0"/>
        <w:ind w:left="709" w:hanging="709"/>
        <w:rPr>
          <w:rFonts w:ascii="Times New Roman" w:hAnsi="Times New Roman" w:cs="Times New Roman"/>
          <w:sz w:val="26"/>
          <w:szCs w:val="26"/>
          <w:lang w:val="uk-UA"/>
        </w:rPr>
      </w:pPr>
    </w:p>
    <w:p w:rsidR="00A45FC5" w:rsidRPr="00DA41FF" w:rsidRDefault="00A45FC5" w:rsidP="00A45FC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 xml:space="preserve">ІІІ. Визначення та оцінка </w:t>
      </w:r>
      <w:proofErr w:type="spellStart"/>
      <w:r w:rsidRPr="00DA41FF">
        <w:rPr>
          <w:rFonts w:ascii="Times New Roman" w:hAnsi="Times New Roman" w:cs="Times New Roman"/>
          <w:b/>
          <w:sz w:val="26"/>
          <w:szCs w:val="26"/>
        </w:rPr>
        <w:t>альтернативних</w:t>
      </w:r>
      <w:proofErr w:type="spellEnd"/>
      <w:r w:rsidRPr="00DA41FF">
        <w:rPr>
          <w:rFonts w:ascii="Times New Roman" w:hAnsi="Times New Roman" w:cs="Times New Roman"/>
          <w:b/>
          <w:sz w:val="26"/>
          <w:szCs w:val="26"/>
        </w:rPr>
        <w:t xml:space="preserve"> способів досягнення цілей</w:t>
      </w:r>
    </w:p>
    <w:p w:rsidR="00A45FC5" w:rsidRDefault="00A45FC5" w:rsidP="00A45F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 xml:space="preserve">Визначення </w:t>
      </w:r>
      <w:proofErr w:type="spellStart"/>
      <w:r w:rsidRPr="00DA41FF">
        <w:rPr>
          <w:rFonts w:ascii="Times New Roman" w:hAnsi="Times New Roman" w:cs="Times New Roman"/>
          <w:b/>
          <w:sz w:val="26"/>
          <w:szCs w:val="26"/>
        </w:rPr>
        <w:t>альтернативних</w:t>
      </w:r>
      <w:proofErr w:type="spellEnd"/>
      <w:r w:rsidRPr="00DA41FF">
        <w:rPr>
          <w:rFonts w:ascii="Times New Roman" w:hAnsi="Times New Roman" w:cs="Times New Roman"/>
          <w:b/>
          <w:sz w:val="26"/>
          <w:szCs w:val="26"/>
        </w:rPr>
        <w:t xml:space="preserve"> способі</w:t>
      </w:r>
      <w:proofErr w:type="gramStart"/>
      <w:r w:rsidRPr="00DA41F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tbl>
      <w:tblPr>
        <w:tblStyle w:val="a4"/>
        <w:tblW w:w="0" w:type="auto"/>
        <w:tblInd w:w="390" w:type="dxa"/>
        <w:tblLook w:val="04A0"/>
      </w:tblPr>
      <w:tblGrid>
        <w:gridCol w:w="4585"/>
        <w:gridCol w:w="4205"/>
      </w:tblGrid>
      <w:tr w:rsidR="00A45FC5" w:rsidRPr="00DA41FF" w:rsidTr="005F71D9">
        <w:tc>
          <w:tcPr>
            <w:tcW w:w="4585" w:type="dxa"/>
          </w:tcPr>
          <w:p w:rsidR="00A45FC5" w:rsidRPr="0054465D" w:rsidRDefault="00A45FC5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4205" w:type="dxa"/>
          </w:tcPr>
          <w:p w:rsidR="00A45FC5" w:rsidRPr="0054465D" w:rsidRDefault="00A45FC5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</w:p>
        </w:tc>
      </w:tr>
      <w:tr w:rsidR="00A45FC5" w:rsidRPr="00DA41FF" w:rsidTr="005F71D9">
        <w:trPr>
          <w:trHeight w:val="341"/>
        </w:trPr>
        <w:tc>
          <w:tcPr>
            <w:tcW w:w="4585" w:type="dxa"/>
          </w:tcPr>
          <w:p w:rsidR="00A45FC5" w:rsidRPr="0054465D" w:rsidRDefault="00A45FC5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1.</w:t>
            </w:r>
          </w:p>
        </w:tc>
        <w:tc>
          <w:tcPr>
            <w:tcW w:w="4205" w:type="dxa"/>
          </w:tcPr>
          <w:p w:rsidR="00A45FC5" w:rsidRPr="0054465D" w:rsidRDefault="00A45FC5" w:rsidP="00A45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Залишення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існуючої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на даний момент ситуації без змін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5FC5" w:rsidRPr="00DA41FF" w:rsidTr="005F71D9">
        <w:trPr>
          <w:trHeight w:val="273"/>
        </w:trPr>
        <w:tc>
          <w:tcPr>
            <w:tcW w:w="4585" w:type="dxa"/>
          </w:tcPr>
          <w:p w:rsidR="00A45FC5" w:rsidRPr="0054465D" w:rsidRDefault="00A45FC5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2.</w:t>
            </w:r>
          </w:p>
        </w:tc>
        <w:tc>
          <w:tcPr>
            <w:tcW w:w="4205" w:type="dxa"/>
          </w:tcPr>
          <w:p w:rsidR="00A45FC5" w:rsidRPr="0054465D" w:rsidRDefault="00A45FC5" w:rsidP="00A45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проекту акта, яким буде затверджено Правила благоустрою, що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відповідатимуть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приписам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чинного законодавства України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A45FC5" w:rsidRPr="00DA41FF" w:rsidRDefault="00A45FC5" w:rsidP="00A45FC5">
      <w:pPr>
        <w:pStyle w:val="a3"/>
        <w:ind w:left="39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45FC5" w:rsidRPr="00DA41FF" w:rsidRDefault="00A45FC5" w:rsidP="00A45F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 xml:space="preserve">Оцінка </w:t>
      </w:r>
      <w:proofErr w:type="spellStart"/>
      <w:r w:rsidRPr="00DA41FF">
        <w:rPr>
          <w:rFonts w:ascii="Times New Roman" w:hAnsi="Times New Roman" w:cs="Times New Roman"/>
          <w:b/>
          <w:sz w:val="26"/>
          <w:szCs w:val="26"/>
        </w:rPr>
        <w:t>вибраних</w:t>
      </w:r>
      <w:proofErr w:type="spellEnd"/>
      <w:r w:rsidRPr="00DA41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41FF">
        <w:rPr>
          <w:rFonts w:ascii="Times New Roman" w:hAnsi="Times New Roman" w:cs="Times New Roman"/>
          <w:b/>
          <w:sz w:val="26"/>
          <w:szCs w:val="26"/>
        </w:rPr>
        <w:t>альтернативних</w:t>
      </w:r>
      <w:proofErr w:type="spellEnd"/>
      <w:r w:rsidRPr="00DA41FF">
        <w:rPr>
          <w:rFonts w:ascii="Times New Roman" w:hAnsi="Times New Roman" w:cs="Times New Roman"/>
          <w:b/>
          <w:sz w:val="26"/>
          <w:szCs w:val="26"/>
        </w:rPr>
        <w:t xml:space="preserve"> способів досягнення цілей</w:t>
      </w:r>
    </w:p>
    <w:p w:rsidR="00A45FC5" w:rsidRPr="00DA41FF" w:rsidRDefault="00A45FC5" w:rsidP="00DA41FF">
      <w:pPr>
        <w:pStyle w:val="a3"/>
        <w:ind w:left="3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>Оцінка впливу на сферу інтересів держави</w:t>
      </w:r>
    </w:p>
    <w:tbl>
      <w:tblPr>
        <w:tblStyle w:val="a4"/>
        <w:tblW w:w="0" w:type="auto"/>
        <w:tblInd w:w="390" w:type="dxa"/>
        <w:tblLook w:val="04A0"/>
      </w:tblPr>
      <w:tblGrid>
        <w:gridCol w:w="2412"/>
        <w:gridCol w:w="3969"/>
        <w:gridCol w:w="2693"/>
      </w:tblGrid>
      <w:tr w:rsidR="00A45FC5" w:rsidRPr="00DA41FF" w:rsidTr="005F71D9">
        <w:tc>
          <w:tcPr>
            <w:tcW w:w="2412" w:type="dxa"/>
          </w:tcPr>
          <w:p w:rsidR="00A45FC5" w:rsidRPr="0054465D" w:rsidRDefault="00A45FC5" w:rsidP="00E921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3969" w:type="dxa"/>
          </w:tcPr>
          <w:p w:rsidR="00A45FC5" w:rsidRPr="0054465D" w:rsidRDefault="00A45FC5" w:rsidP="00E921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2693" w:type="dxa"/>
          </w:tcPr>
          <w:p w:rsidR="00A45FC5" w:rsidRPr="0054465D" w:rsidRDefault="00A45FC5" w:rsidP="00E921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</w:tr>
      <w:tr w:rsidR="00A45FC5" w:rsidRPr="00DA41FF" w:rsidTr="005F71D9">
        <w:tc>
          <w:tcPr>
            <w:tcW w:w="2412" w:type="dxa"/>
          </w:tcPr>
          <w:p w:rsidR="00A45FC5" w:rsidRPr="0054465D" w:rsidRDefault="00A45FC5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1.</w:t>
            </w:r>
          </w:p>
          <w:p w:rsidR="00E92181" w:rsidRPr="0054465D" w:rsidRDefault="00E92181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A45FC5" w:rsidRPr="0054465D" w:rsidRDefault="00A45FC5" w:rsidP="00A45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693" w:type="dxa"/>
          </w:tcPr>
          <w:p w:rsidR="00A45FC5" w:rsidRPr="0054465D" w:rsidRDefault="00A45FC5" w:rsidP="00A45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забезпечує досягнення поставленої мети</w:t>
            </w:r>
          </w:p>
        </w:tc>
      </w:tr>
      <w:tr w:rsidR="00A45FC5" w:rsidRPr="00DA41FF" w:rsidTr="005F71D9">
        <w:tc>
          <w:tcPr>
            <w:tcW w:w="2412" w:type="dxa"/>
          </w:tcPr>
          <w:p w:rsidR="00A45FC5" w:rsidRPr="0054465D" w:rsidRDefault="00A45FC5" w:rsidP="000E69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</w:t>
            </w:r>
            <w:r w:rsidR="00E92181"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A45FC5" w:rsidRPr="0054465D" w:rsidRDefault="00E92181" w:rsidP="00E921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цілей щодо вирішення наявних проблемних питань у сфері благоустрою; підвищення рівня самоврядного і громадського контролю у сфері благоустрою населених пунктів</w:t>
            </w:r>
          </w:p>
        </w:tc>
        <w:tc>
          <w:tcPr>
            <w:tcW w:w="2693" w:type="dxa"/>
          </w:tcPr>
          <w:p w:rsidR="00A45FC5" w:rsidRPr="0054465D" w:rsidRDefault="00E92181" w:rsidP="00A45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оскільки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реалізація положень регуляторного акта не потребує додаткових матеріальних чи інших витрат</w:t>
            </w:r>
          </w:p>
        </w:tc>
      </w:tr>
    </w:tbl>
    <w:p w:rsidR="00A45FC5" w:rsidRPr="00DA41FF" w:rsidRDefault="00A45FC5" w:rsidP="00A45FC5">
      <w:pPr>
        <w:pStyle w:val="a3"/>
        <w:ind w:left="390"/>
        <w:rPr>
          <w:rFonts w:ascii="Times New Roman" w:hAnsi="Times New Roman" w:cs="Times New Roman"/>
          <w:sz w:val="26"/>
          <w:szCs w:val="26"/>
          <w:lang w:val="uk-UA"/>
        </w:rPr>
      </w:pPr>
    </w:p>
    <w:p w:rsidR="00E92181" w:rsidRPr="00DA41FF" w:rsidRDefault="0054465D" w:rsidP="00C32573">
      <w:pPr>
        <w:pStyle w:val="a3"/>
        <w:ind w:left="39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3. </w:t>
      </w:r>
      <w:r w:rsidR="00E92181" w:rsidRPr="00DA41FF">
        <w:rPr>
          <w:rFonts w:ascii="Times New Roman" w:hAnsi="Times New Roman" w:cs="Times New Roman"/>
          <w:b/>
          <w:sz w:val="26"/>
          <w:szCs w:val="26"/>
        </w:rPr>
        <w:t>Оцінка впливу на сферу інтересів громадян</w:t>
      </w:r>
    </w:p>
    <w:p w:rsidR="00A45FC5" w:rsidRPr="00DA41FF" w:rsidRDefault="00A45FC5" w:rsidP="00A45FC5">
      <w:pPr>
        <w:pStyle w:val="a3"/>
        <w:ind w:left="390"/>
        <w:rPr>
          <w:sz w:val="26"/>
          <w:szCs w:val="26"/>
          <w:lang w:val="uk-UA"/>
        </w:rPr>
      </w:pPr>
    </w:p>
    <w:tbl>
      <w:tblPr>
        <w:tblStyle w:val="a4"/>
        <w:tblW w:w="0" w:type="auto"/>
        <w:tblInd w:w="390" w:type="dxa"/>
        <w:tblLook w:val="04A0"/>
      </w:tblPr>
      <w:tblGrid>
        <w:gridCol w:w="2270"/>
        <w:gridCol w:w="4111"/>
        <w:gridCol w:w="2800"/>
      </w:tblGrid>
      <w:tr w:rsidR="00E92181" w:rsidRPr="00DA41FF" w:rsidTr="0054465D">
        <w:tc>
          <w:tcPr>
            <w:tcW w:w="2270" w:type="dxa"/>
          </w:tcPr>
          <w:p w:rsidR="00E92181" w:rsidRPr="0054465D" w:rsidRDefault="00E92181" w:rsidP="00DA41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4111" w:type="dxa"/>
          </w:tcPr>
          <w:p w:rsidR="00E92181" w:rsidRPr="0054465D" w:rsidRDefault="00E92181" w:rsidP="00DA41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2800" w:type="dxa"/>
          </w:tcPr>
          <w:p w:rsidR="00E92181" w:rsidRPr="00DA41FF" w:rsidRDefault="00E92181" w:rsidP="000E69B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41FF">
              <w:rPr>
                <w:rFonts w:ascii="Times New Roman" w:hAnsi="Times New Roman" w:cs="Times New Roman"/>
                <w:b/>
                <w:sz w:val="26"/>
                <w:szCs w:val="26"/>
              </w:rPr>
              <w:t>Витрати</w:t>
            </w:r>
          </w:p>
        </w:tc>
      </w:tr>
      <w:tr w:rsidR="00E92181" w:rsidRPr="00DA41FF" w:rsidTr="0054465D">
        <w:tc>
          <w:tcPr>
            <w:tcW w:w="2270" w:type="dxa"/>
          </w:tcPr>
          <w:p w:rsidR="00E92181" w:rsidRPr="0054465D" w:rsidRDefault="00E92181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1.</w:t>
            </w:r>
          </w:p>
        </w:tc>
        <w:tc>
          <w:tcPr>
            <w:tcW w:w="4111" w:type="dxa"/>
          </w:tcPr>
          <w:p w:rsidR="00E92181" w:rsidRPr="0054465D" w:rsidRDefault="00E92181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800" w:type="dxa"/>
          </w:tcPr>
          <w:p w:rsidR="00E92181" w:rsidRPr="0054465D" w:rsidRDefault="00E92181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залишається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вирішеною</w:t>
            </w:r>
            <w:proofErr w:type="spellEnd"/>
          </w:p>
        </w:tc>
      </w:tr>
      <w:tr w:rsidR="00E92181" w:rsidRPr="00DA41FF" w:rsidTr="0054465D">
        <w:tc>
          <w:tcPr>
            <w:tcW w:w="2270" w:type="dxa"/>
          </w:tcPr>
          <w:p w:rsidR="00E92181" w:rsidRPr="0054465D" w:rsidRDefault="00E92181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2.</w:t>
            </w:r>
          </w:p>
        </w:tc>
        <w:tc>
          <w:tcPr>
            <w:tcW w:w="4111" w:type="dxa"/>
          </w:tcPr>
          <w:p w:rsidR="00E92181" w:rsidRPr="0054465D" w:rsidRDefault="00E92181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основних критеріїв та вимог належного утримання об’єктів благоустрою, дотримання правил благоустрою суб’єктами 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благоустрою; поліпшення умов захисту і відновлення сприятливого для життєдіяльності людини довкілля під час утримання об’єктів благоустрою</w:t>
            </w:r>
          </w:p>
        </w:tc>
        <w:tc>
          <w:tcPr>
            <w:tcW w:w="2800" w:type="dxa"/>
          </w:tcPr>
          <w:p w:rsidR="00E92181" w:rsidRPr="0054465D" w:rsidRDefault="00E92181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Відсутні</w:t>
            </w:r>
            <w:proofErr w:type="spellEnd"/>
          </w:p>
        </w:tc>
      </w:tr>
    </w:tbl>
    <w:p w:rsidR="00E92181" w:rsidRPr="00DA41FF" w:rsidRDefault="00E92181" w:rsidP="00A45FC5">
      <w:pPr>
        <w:pStyle w:val="a3"/>
        <w:ind w:left="39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2573" w:rsidRPr="00DA41FF" w:rsidRDefault="0054465D" w:rsidP="00C32573">
      <w:pPr>
        <w:pStyle w:val="a3"/>
        <w:ind w:left="39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4. </w:t>
      </w:r>
      <w:r w:rsidR="00C32573" w:rsidRPr="00DA41FF">
        <w:rPr>
          <w:rFonts w:ascii="Times New Roman" w:hAnsi="Times New Roman" w:cs="Times New Roman"/>
          <w:b/>
          <w:sz w:val="26"/>
          <w:szCs w:val="26"/>
        </w:rPr>
        <w:t>Оцінка впливу на сферу інтересів суб’єктів господарювання</w:t>
      </w:r>
    </w:p>
    <w:tbl>
      <w:tblPr>
        <w:tblStyle w:val="a4"/>
        <w:tblW w:w="9072" w:type="dxa"/>
        <w:tblInd w:w="392" w:type="dxa"/>
        <w:tblLayout w:type="fixed"/>
        <w:tblLook w:val="04A0"/>
      </w:tblPr>
      <w:tblGrid>
        <w:gridCol w:w="3827"/>
        <w:gridCol w:w="1134"/>
        <w:gridCol w:w="1134"/>
        <w:gridCol w:w="992"/>
        <w:gridCol w:w="993"/>
        <w:gridCol w:w="992"/>
      </w:tblGrid>
      <w:tr w:rsidR="0054465D" w:rsidRPr="00581984" w:rsidTr="0054465D">
        <w:trPr>
          <w:trHeight w:val="99"/>
        </w:trPr>
        <w:tc>
          <w:tcPr>
            <w:tcW w:w="3827" w:type="dxa"/>
          </w:tcPr>
          <w:p w:rsidR="0054465D" w:rsidRPr="0054465D" w:rsidRDefault="0054465D" w:rsidP="00544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134" w:type="dxa"/>
          </w:tcPr>
          <w:p w:rsidR="0054465D" w:rsidRPr="0054465D" w:rsidRDefault="0054465D" w:rsidP="00544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Великі</w:t>
            </w:r>
            <w:proofErr w:type="spellEnd"/>
          </w:p>
        </w:tc>
        <w:tc>
          <w:tcPr>
            <w:tcW w:w="1134" w:type="dxa"/>
          </w:tcPr>
          <w:p w:rsidR="0054465D" w:rsidRPr="0054465D" w:rsidRDefault="0054465D" w:rsidP="00544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Середні</w:t>
            </w:r>
            <w:proofErr w:type="spellEnd"/>
          </w:p>
        </w:tc>
        <w:tc>
          <w:tcPr>
            <w:tcW w:w="992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Малі</w:t>
            </w:r>
            <w:proofErr w:type="spellEnd"/>
          </w:p>
        </w:tc>
        <w:tc>
          <w:tcPr>
            <w:tcW w:w="993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Мікро</w:t>
            </w:r>
            <w:proofErr w:type="spellEnd"/>
          </w:p>
        </w:tc>
        <w:tc>
          <w:tcPr>
            <w:tcW w:w="992" w:type="dxa"/>
          </w:tcPr>
          <w:p w:rsidR="0054465D" w:rsidRPr="0054465D" w:rsidRDefault="0054465D" w:rsidP="005446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</w:tr>
      <w:tr w:rsidR="0054465D" w:rsidRPr="00581984" w:rsidTr="0054465D">
        <w:trPr>
          <w:trHeight w:val="220"/>
        </w:trPr>
        <w:tc>
          <w:tcPr>
            <w:tcW w:w="3827" w:type="dxa"/>
          </w:tcPr>
          <w:p w:rsidR="0054465D" w:rsidRPr="0054465D" w:rsidRDefault="0054465D" w:rsidP="00544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суб’єктів господарювання, що </w:t>
            </w:r>
            <w:proofErr w:type="spellStart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підпадають</w:t>
            </w:r>
            <w:proofErr w:type="spellEnd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 </w:t>
            </w:r>
            <w:proofErr w:type="gramStart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ію регулювання, одиниць*</w:t>
            </w:r>
          </w:p>
        </w:tc>
        <w:tc>
          <w:tcPr>
            <w:tcW w:w="1134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4465D" w:rsidRPr="0054465D" w:rsidRDefault="0054465D" w:rsidP="005446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54465D" w:rsidRPr="00581984" w:rsidTr="0054465D">
        <w:trPr>
          <w:trHeight w:val="148"/>
        </w:trPr>
        <w:tc>
          <w:tcPr>
            <w:tcW w:w="3827" w:type="dxa"/>
          </w:tcPr>
          <w:p w:rsidR="0054465D" w:rsidRPr="0054465D" w:rsidRDefault="0054465D" w:rsidP="00544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Питома</w:t>
            </w:r>
            <w:proofErr w:type="spellEnd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вага групи у </w:t>
            </w:r>
            <w:proofErr w:type="spellStart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загальній</w:t>
            </w:r>
            <w:proofErr w:type="spellEnd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кількості, </w:t>
            </w:r>
            <w:proofErr w:type="spellStart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відсоткі</w:t>
            </w:r>
            <w:proofErr w:type="gramStart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134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</w:tcPr>
          <w:p w:rsidR="0054465D" w:rsidRPr="0054465D" w:rsidRDefault="0054465D" w:rsidP="0054465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98,6%</w:t>
            </w:r>
          </w:p>
        </w:tc>
        <w:tc>
          <w:tcPr>
            <w:tcW w:w="992" w:type="dxa"/>
          </w:tcPr>
          <w:p w:rsidR="0054465D" w:rsidRPr="0054465D" w:rsidRDefault="0054465D" w:rsidP="005446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E84DE7" w:rsidRPr="00DA41FF" w:rsidRDefault="00E84DE7" w:rsidP="00C32573">
      <w:pPr>
        <w:pStyle w:val="a3"/>
        <w:ind w:left="39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4"/>
        <w:tblW w:w="0" w:type="auto"/>
        <w:tblInd w:w="390" w:type="dxa"/>
        <w:tblLook w:val="04A0"/>
      </w:tblPr>
      <w:tblGrid>
        <w:gridCol w:w="3051"/>
        <w:gridCol w:w="3108"/>
        <w:gridCol w:w="3022"/>
      </w:tblGrid>
      <w:tr w:rsidR="00E84DE7" w:rsidRPr="00DA41FF" w:rsidTr="00E84DE7">
        <w:tc>
          <w:tcPr>
            <w:tcW w:w="3051" w:type="dxa"/>
          </w:tcPr>
          <w:p w:rsidR="00E84DE7" w:rsidRPr="0054465D" w:rsidRDefault="00E84DE7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3108" w:type="dxa"/>
          </w:tcPr>
          <w:p w:rsidR="00E84DE7" w:rsidRPr="0054465D" w:rsidRDefault="00E84DE7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Вигоди</w:t>
            </w:r>
            <w:proofErr w:type="spellEnd"/>
          </w:p>
        </w:tc>
        <w:tc>
          <w:tcPr>
            <w:tcW w:w="3022" w:type="dxa"/>
          </w:tcPr>
          <w:p w:rsidR="00E84DE7" w:rsidRPr="0054465D" w:rsidRDefault="00E84DE7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</w:tr>
      <w:tr w:rsidR="00E84DE7" w:rsidRPr="00DA41FF" w:rsidTr="00E84DE7">
        <w:tc>
          <w:tcPr>
            <w:tcW w:w="3051" w:type="dxa"/>
          </w:tcPr>
          <w:p w:rsidR="00E84DE7" w:rsidRPr="0054465D" w:rsidRDefault="00E84DE7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1.</w:t>
            </w:r>
          </w:p>
        </w:tc>
        <w:tc>
          <w:tcPr>
            <w:tcW w:w="3108" w:type="dxa"/>
          </w:tcPr>
          <w:p w:rsidR="00E84DE7" w:rsidRPr="0054465D" w:rsidRDefault="00E84DE7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речей залишається незмінним, відтак відсутня необхідність внесення змін в діяльність підприємств</w:t>
            </w:r>
          </w:p>
        </w:tc>
        <w:tc>
          <w:tcPr>
            <w:tcW w:w="3022" w:type="dxa"/>
          </w:tcPr>
          <w:p w:rsidR="00E84DE7" w:rsidRPr="0054465D" w:rsidRDefault="00E84DE7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витрати відсутні</w:t>
            </w:r>
          </w:p>
        </w:tc>
      </w:tr>
      <w:tr w:rsidR="00E84DE7" w:rsidRPr="00DA41FF" w:rsidTr="00E84DE7">
        <w:tc>
          <w:tcPr>
            <w:tcW w:w="3051" w:type="dxa"/>
          </w:tcPr>
          <w:p w:rsidR="00E84DE7" w:rsidRPr="0054465D" w:rsidRDefault="00E84DE7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2.</w:t>
            </w:r>
          </w:p>
        </w:tc>
        <w:tc>
          <w:tcPr>
            <w:tcW w:w="3108" w:type="dxa"/>
          </w:tcPr>
          <w:p w:rsidR="00E84DE7" w:rsidRPr="0054465D" w:rsidRDefault="002B5667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84DE7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береження майна підприємств; стабільність їх діяльності</w:t>
            </w:r>
          </w:p>
        </w:tc>
        <w:tc>
          <w:tcPr>
            <w:tcW w:w="3022" w:type="dxa"/>
          </w:tcPr>
          <w:p w:rsidR="00E84DE7" w:rsidRPr="0054465D" w:rsidRDefault="00E84DE7" w:rsidP="00544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витрати відсутні</w:t>
            </w:r>
          </w:p>
          <w:p w:rsidR="00E84DE7" w:rsidRPr="0054465D" w:rsidRDefault="00E84DE7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44AC9" w:rsidRPr="00DA41FF" w:rsidRDefault="00244AC9">
      <w:pPr>
        <w:pStyle w:val="a3"/>
        <w:ind w:left="390"/>
        <w:rPr>
          <w:sz w:val="26"/>
          <w:szCs w:val="26"/>
          <w:lang w:val="uk-UA"/>
        </w:rPr>
      </w:pPr>
    </w:p>
    <w:p w:rsidR="002B5667" w:rsidRPr="00DA41FF" w:rsidRDefault="002B5667" w:rsidP="00244AC9">
      <w:pPr>
        <w:pStyle w:val="a3"/>
        <w:ind w:left="390"/>
        <w:jc w:val="center"/>
        <w:rPr>
          <w:b/>
          <w:sz w:val="26"/>
          <w:szCs w:val="26"/>
          <w:lang w:val="uk-UA"/>
        </w:rPr>
      </w:pPr>
      <w:r w:rsidRPr="00DA41FF">
        <w:rPr>
          <w:b/>
          <w:sz w:val="26"/>
          <w:szCs w:val="26"/>
        </w:rPr>
        <w:t>I</w:t>
      </w:r>
      <w:r w:rsidRPr="00DA41FF">
        <w:rPr>
          <w:rFonts w:ascii="Times New Roman" w:hAnsi="Times New Roman" w:cs="Times New Roman"/>
          <w:b/>
          <w:sz w:val="26"/>
          <w:szCs w:val="26"/>
        </w:rPr>
        <w:t>V</w:t>
      </w:r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t>. Вибір найбільш оптимального альтернативного способу досягнення цілей</w:t>
      </w:r>
    </w:p>
    <w:p w:rsidR="00E84DE7" w:rsidRPr="00DA41FF" w:rsidRDefault="002B5667">
      <w:pPr>
        <w:pStyle w:val="a3"/>
        <w:ind w:left="39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Ind w:w="390" w:type="dxa"/>
        <w:tblLook w:val="04A0"/>
      </w:tblPr>
      <w:tblGrid>
        <w:gridCol w:w="3063"/>
        <w:gridCol w:w="2609"/>
        <w:gridCol w:w="3509"/>
      </w:tblGrid>
      <w:tr w:rsidR="002B5667" w:rsidRPr="00DA41FF" w:rsidTr="0054465D">
        <w:tc>
          <w:tcPr>
            <w:tcW w:w="3063" w:type="dxa"/>
          </w:tcPr>
          <w:p w:rsidR="002B5667" w:rsidRPr="0054465D" w:rsidRDefault="00244AC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09" w:type="dxa"/>
          </w:tcPr>
          <w:p w:rsidR="002B5667" w:rsidRPr="0054465D" w:rsidRDefault="00244AC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509" w:type="dxa"/>
          </w:tcPr>
          <w:p w:rsidR="002B5667" w:rsidRPr="0054465D" w:rsidRDefault="00244AC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 щодо присвоєння відповідного бала</w:t>
            </w:r>
          </w:p>
        </w:tc>
      </w:tr>
      <w:tr w:rsidR="002B5667" w:rsidRPr="00DA41FF" w:rsidTr="0054465D">
        <w:trPr>
          <w:trHeight w:val="273"/>
        </w:trPr>
        <w:tc>
          <w:tcPr>
            <w:tcW w:w="3063" w:type="dxa"/>
          </w:tcPr>
          <w:p w:rsidR="002B5667" w:rsidRPr="0054465D" w:rsidRDefault="00244AC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</w:t>
            </w:r>
            <w:r w:rsidR="00C6343F"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609" w:type="dxa"/>
          </w:tcPr>
          <w:p w:rsidR="002B5667" w:rsidRPr="0054465D" w:rsidRDefault="00244AC9" w:rsidP="00544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09" w:type="dxa"/>
          </w:tcPr>
          <w:p w:rsidR="002B5667" w:rsidRPr="0054465D" w:rsidRDefault="00244AC9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Визначені цілі не досягнуті, відтак проблема залишається не вирішеною</w:t>
            </w:r>
          </w:p>
        </w:tc>
      </w:tr>
      <w:tr w:rsidR="002B5667" w:rsidRPr="00DA41FF" w:rsidTr="0054465D">
        <w:tc>
          <w:tcPr>
            <w:tcW w:w="3063" w:type="dxa"/>
          </w:tcPr>
          <w:p w:rsidR="002B5667" w:rsidRPr="0054465D" w:rsidRDefault="00244AC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Альтернатива 2</w:t>
            </w:r>
            <w:r w:rsidR="00C6343F"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609" w:type="dxa"/>
          </w:tcPr>
          <w:p w:rsidR="002B5667" w:rsidRPr="0054465D" w:rsidRDefault="00244AC9" w:rsidP="00544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09" w:type="dxa"/>
          </w:tcPr>
          <w:p w:rsidR="002B5667" w:rsidRPr="0054465D" w:rsidRDefault="00244AC9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У разі прийняття акта 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викладені </w:t>
            </w: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цілі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забезпечать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повною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мірою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досягнення поставленої мети стосовно прийняття Правил благоустрою </w:t>
            </w:r>
            <w:proofErr w:type="gramStart"/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іщанської сільської територіальної громади </w:t>
            </w: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у відповідності до вимог чинного законодавства України, при цьому досягнення встановлених цілей є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можливим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незначними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витратами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, які,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однак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виправдовуються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отриманими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вигодами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 від прийняття регуляторного акта</w:t>
            </w:r>
          </w:p>
        </w:tc>
      </w:tr>
    </w:tbl>
    <w:p w:rsidR="00F64409" w:rsidRPr="00DA41FF" w:rsidRDefault="00F64409" w:rsidP="0054465D">
      <w:pPr>
        <w:rPr>
          <w:sz w:val="26"/>
          <w:szCs w:val="26"/>
          <w:lang w:val="uk-UA"/>
        </w:rPr>
      </w:pPr>
    </w:p>
    <w:tbl>
      <w:tblPr>
        <w:tblStyle w:val="a4"/>
        <w:tblW w:w="0" w:type="auto"/>
        <w:tblInd w:w="390" w:type="dxa"/>
        <w:tblLayout w:type="fixed"/>
        <w:tblLook w:val="04A0"/>
      </w:tblPr>
      <w:tblGrid>
        <w:gridCol w:w="2128"/>
        <w:gridCol w:w="2977"/>
        <w:gridCol w:w="2126"/>
        <w:gridCol w:w="1950"/>
      </w:tblGrid>
      <w:tr w:rsidR="00F64409" w:rsidRPr="00DA41FF" w:rsidTr="0054465D">
        <w:tc>
          <w:tcPr>
            <w:tcW w:w="2128" w:type="dxa"/>
          </w:tcPr>
          <w:p w:rsidR="00F64409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Рейтинг результативнос</w:t>
            </w:r>
            <w:r w:rsidR="00F64409"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</w:t>
            </w:r>
          </w:p>
        </w:tc>
        <w:tc>
          <w:tcPr>
            <w:tcW w:w="2977" w:type="dxa"/>
          </w:tcPr>
          <w:p w:rsidR="00F64409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126" w:type="dxa"/>
          </w:tcPr>
          <w:p w:rsidR="00F64409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1950" w:type="dxa"/>
          </w:tcPr>
          <w:p w:rsidR="00F64409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F64409" w:rsidRPr="00DA41FF" w:rsidTr="0054465D">
        <w:tc>
          <w:tcPr>
            <w:tcW w:w="2128" w:type="dxa"/>
          </w:tcPr>
          <w:p w:rsidR="008515E0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</w:t>
            </w:r>
            <w:r w:rsidR="00C6343F"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4409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2977" w:type="dxa"/>
          </w:tcPr>
          <w:p w:rsidR="00F64409" w:rsidRPr="0054465D" w:rsidRDefault="00F64409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залишення існуючої на даний момент ситуації без змін, вигоди для держави та громадян відсутні; суб’єкти господарювання позбавлені обов’язку внесення змін до господарської діяльності</w:t>
            </w:r>
          </w:p>
        </w:tc>
        <w:tc>
          <w:tcPr>
            <w:tcW w:w="2126" w:type="dxa"/>
          </w:tcPr>
          <w:p w:rsidR="00F64409" w:rsidRPr="0054465D" w:rsidRDefault="00C6343F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забезпечуєтьс</w:t>
            </w:r>
            <w:r w:rsidR="00F64409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досягнення поставленої мети і вирішення питань у сфері благоустрою </w:t>
            </w:r>
          </w:p>
        </w:tc>
        <w:tc>
          <w:tcPr>
            <w:tcW w:w="1950" w:type="dxa"/>
          </w:tcPr>
          <w:p w:rsidR="00F64409" w:rsidRPr="0054465D" w:rsidRDefault="00F64409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Визначені цілі не досягнуті, відтак проблема залишається не вирішеною</w:t>
            </w:r>
          </w:p>
        </w:tc>
      </w:tr>
      <w:tr w:rsidR="00F64409" w:rsidRPr="00DA41FF" w:rsidTr="0054465D">
        <w:tc>
          <w:tcPr>
            <w:tcW w:w="2128" w:type="dxa"/>
          </w:tcPr>
          <w:p w:rsidR="00C6343F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2</w:t>
            </w:r>
            <w:r w:rsidR="00C6343F"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64409" w:rsidRPr="0054465D" w:rsidRDefault="00F64409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проекту акта</w:t>
            </w:r>
          </w:p>
        </w:tc>
        <w:tc>
          <w:tcPr>
            <w:tcW w:w="2977" w:type="dxa"/>
          </w:tcPr>
          <w:p w:rsidR="00F64409" w:rsidRPr="0054465D" w:rsidRDefault="008515E0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прийняття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акта вигоди полягатимуть в реалізації Закону в частині прийняття Правил благоустрою на підставі Типових правил благоустрою населених пунктів, підвищенні рівня самоврядного і громадського контролю у сфері благоустрою; поліпшення умов захисту і відновлення сприятливого для життєдіяльності людини довкілля під час утримання об’єктів благоустрою; забезпечення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досягнення цілей щодо вирішення наявних проблемних питань у сфері благоустрою</w:t>
            </w:r>
          </w:p>
        </w:tc>
        <w:tc>
          <w:tcPr>
            <w:tcW w:w="2126" w:type="dxa"/>
          </w:tcPr>
          <w:p w:rsidR="00F64409" w:rsidRPr="0054465D" w:rsidRDefault="00C6343F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прийняття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акта витрати у держави та громад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 відсутні, суб’єкти господарю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можуть понести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незначні витрати на адміністра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тивні про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цедури щодо виконання регулюван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з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вітності, разом з тим виникнення можливих витрат, виправдовуються отримани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вигодами від 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регулятор</w:t>
            </w:r>
            <w:r w:rsidR="00917A81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акта</w:t>
            </w:r>
          </w:p>
        </w:tc>
        <w:tc>
          <w:tcPr>
            <w:tcW w:w="1950" w:type="dxa"/>
          </w:tcPr>
          <w:p w:rsidR="00F64409" w:rsidRPr="0054465D" w:rsidRDefault="00917A81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прийняття акта задекларовані цілі будуть досягнуті повною мірою, що забезпечить вирішення проблеми, встановить зрозуміле регулювання відносин у сфері благоустрою у відповідності до чинного законодавства</w:t>
            </w:r>
          </w:p>
        </w:tc>
      </w:tr>
    </w:tbl>
    <w:p w:rsidR="00F64409" w:rsidRPr="00DA41FF" w:rsidRDefault="00F64409" w:rsidP="0054465D">
      <w:pPr>
        <w:pStyle w:val="a3"/>
        <w:ind w:left="390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4"/>
        <w:tblW w:w="0" w:type="auto"/>
        <w:tblInd w:w="390" w:type="dxa"/>
        <w:tblLook w:val="04A0"/>
      </w:tblPr>
      <w:tblGrid>
        <w:gridCol w:w="2128"/>
        <w:gridCol w:w="3969"/>
        <w:gridCol w:w="3084"/>
      </w:tblGrid>
      <w:tr w:rsidR="00C6343F" w:rsidRPr="00DA41FF" w:rsidTr="0054465D">
        <w:tc>
          <w:tcPr>
            <w:tcW w:w="2128" w:type="dxa"/>
          </w:tcPr>
          <w:p w:rsidR="00C6343F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969" w:type="dxa"/>
          </w:tcPr>
          <w:p w:rsidR="00C6343F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щодо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переваги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обраної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причини відмови від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альтернативи</w:t>
            </w:r>
            <w:proofErr w:type="spellEnd"/>
          </w:p>
        </w:tc>
        <w:tc>
          <w:tcPr>
            <w:tcW w:w="3084" w:type="dxa"/>
          </w:tcPr>
          <w:p w:rsidR="00C6343F" w:rsidRPr="0054465D" w:rsidRDefault="00C6343F" w:rsidP="0054465D">
            <w:pPr>
              <w:pStyle w:val="a3"/>
              <w:ind w:left="3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ризику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впливу зовнішніх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чинникі</w:t>
            </w:r>
            <w:proofErr w:type="gram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дію </w:t>
            </w:r>
            <w:proofErr w:type="spellStart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запропонованого</w:t>
            </w:r>
            <w:proofErr w:type="spellEnd"/>
            <w:r w:rsidRPr="0054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регуляторного акта</w:t>
            </w:r>
          </w:p>
        </w:tc>
      </w:tr>
      <w:tr w:rsidR="00C6343F" w:rsidRPr="00DA41FF" w:rsidTr="0054465D">
        <w:tc>
          <w:tcPr>
            <w:tcW w:w="2128" w:type="dxa"/>
          </w:tcPr>
          <w:p w:rsidR="00C6343F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Альтернатива 1.</w:t>
            </w: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6343F" w:rsidRPr="0054465D" w:rsidRDefault="00C6343F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Залишення існуючої на даний момент ситуації без змін</w:t>
            </w:r>
          </w:p>
        </w:tc>
        <w:tc>
          <w:tcPr>
            <w:tcW w:w="3969" w:type="dxa"/>
          </w:tcPr>
          <w:p w:rsidR="00C6343F" w:rsidRPr="0054465D" w:rsidRDefault="0054465D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6343F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забезпечується досягнення цілей щодо регулювання прав та обов'язків суб'єктів у сфері благоустрою; норм та правил поведінки, що забезпечують утримання об'єктів та елементів благоустрою належним чином, за порушення яких можливо притягнути винних осіб до відповідальності</w:t>
            </w:r>
          </w:p>
        </w:tc>
        <w:tc>
          <w:tcPr>
            <w:tcW w:w="3084" w:type="dxa"/>
          </w:tcPr>
          <w:p w:rsidR="00C6343F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6343F" w:rsidRPr="00DA41FF" w:rsidTr="0054465D">
        <w:tc>
          <w:tcPr>
            <w:tcW w:w="2128" w:type="dxa"/>
          </w:tcPr>
          <w:p w:rsidR="00C6343F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Альтернатива 2.</w:t>
            </w:r>
          </w:p>
          <w:p w:rsidR="00C6343F" w:rsidRPr="0054465D" w:rsidRDefault="00C6343F" w:rsidP="00544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проекту акта</w:t>
            </w:r>
          </w:p>
        </w:tc>
        <w:tc>
          <w:tcPr>
            <w:tcW w:w="3969" w:type="dxa"/>
          </w:tcPr>
          <w:p w:rsidR="00C6343F" w:rsidRPr="0054465D" w:rsidRDefault="0054465D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6343F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рийняття акта забезпечить повною мірою досягнення задекларованих цілей стосовно можливості підвищення рівня державного, самоврядного і громадського контролю у сфері благоустрою території </w:t>
            </w:r>
            <w:r w:rsidR="00742DDC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Піщанської сільської територіальної громади</w:t>
            </w:r>
            <w:r w:rsidR="00C6343F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поліпшення умов захисту і відновлення сприятливого для життєдіяльності людини довкілля під час утримання об’єктів благоустрою; </w:t>
            </w:r>
          </w:p>
        </w:tc>
        <w:tc>
          <w:tcPr>
            <w:tcW w:w="3084" w:type="dxa"/>
          </w:tcPr>
          <w:p w:rsidR="00C6343F" w:rsidRPr="0054465D" w:rsidRDefault="00C6343F" w:rsidP="00544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деякого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часу дії регуляторного акта може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впливати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низька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обізнаність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суб’єктів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благострою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щодо його положень, на яких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поширюється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вказаного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акта; внесення змін до законодавства, відповідно до якого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прийнято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благоустрою;</w:t>
            </w:r>
            <w:r w:rsidR="00742DDC" w:rsidRPr="005446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недотримання</w:t>
            </w:r>
            <w:proofErr w:type="spellEnd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 xml:space="preserve"> суб’єктами </w:t>
            </w:r>
            <w:proofErr w:type="gramStart"/>
            <w:r w:rsidRPr="0054465D">
              <w:rPr>
                <w:rFonts w:ascii="Times New Roman" w:hAnsi="Times New Roman" w:cs="Times New Roman"/>
                <w:sz w:val="24"/>
                <w:szCs w:val="24"/>
              </w:rPr>
              <w:t>благоустрою Правил благоустрою</w:t>
            </w:r>
            <w:proofErr w:type="gramEnd"/>
          </w:p>
        </w:tc>
      </w:tr>
    </w:tbl>
    <w:p w:rsidR="003440DE" w:rsidRPr="00DA41FF" w:rsidRDefault="003440DE">
      <w:pPr>
        <w:pStyle w:val="a3"/>
        <w:ind w:left="390"/>
        <w:rPr>
          <w:sz w:val="26"/>
          <w:szCs w:val="26"/>
          <w:lang w:val="uk-UA"/>
        </w:rPr>
      </w:pPr>
    </w:p>
    <w:p w:rsidR="003440DE" w:rsidRPr="00DA41FF" w:rsidRDefault="003440DE" w:rsidP="0054465D">
      <w:pPr>
        <w:pStyle w:val="a3"/>
        <w:ind w:left="390" w:hanging="24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b/>
          <w:sz w:val="26"/>
          <w:szCs w:val="26"/>
        </w:rPr>
        <w:t>V</w:t>
      </w:r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Механізми та заходи, які забезпечать </w:t>
      </w:r>
      <w:r w:rsidR="005446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розв’язання визначеної </w:t>
      </w:r>
      <w:r w:rsidRPr="00DA41FF">
        <w:rPr>
          <w:rFonts w:ascii="Times New Roman" w:hAnsi="Times New Roman" w:cs="Times New Roman"/>
          <w:b/>
          <w:sz w:val="26"/>
          <w:szCs w:val="26"/>
          <w:lang w:val="uk-UA"/>
        </w:rPr>
        <w:t>проблеми</w:t>
      </w:r>
    </w:p>
    <w:p w:rsidR="00C6343F" w:rsidRDefault="003440DE" w:rsidP="0054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Механізмом, який забезпечить розв’язання визначеної проблеми є підготовка та розробка </w:t>
      </w:r>
      <w:proofErr w:type="spellStart"/>
      <w:r w:rsidRPr="00DA41FF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регуляторного акта – Правил благоустрою у відповідності до вимог Закону України «Про засади державної регуляторної політики у сфері господарської діяльності» та прийняття на Піщанською сільської радою  </w:t>
      </w:r>
      <w:proofErr w:type="spellStart"/>
      <w:r w:rsidRPr="00DA41FF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DA41FF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затвердження Правил благоустрою Піщанської сільської територіальної громади </w:t>
      </w:r>
      <w:r w:rsidRPr="00DA41FF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Подільського району Одеської області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>» яким буде встановлено вимоги щодо благоустрою території Піщанської сільської територіальної громади. Досягнення вказаних цілей можливе за умови прийняття Піщанською сільською радою  Правил благоустрою, його оприлюднення у встановленому законодавством порядку</w:t>
      </w:r>
      <w:r w:rsidR="00D80959" w:rsidRPr="00DA41F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4465D" w:rsidRPr="00DA41FF" w:rsidRDefault="0054465D" w:rsidP="0054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80959" w:rsidRDefault="000E69B0" w:rsidP="005446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DA41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VI</w:t>
      </w:r>
      <w:r w:rsidRPr="00DA41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.</w:t>
      </w:r>
      <w:r w:rsidR="00D80959" w:rsidRPr="00DA41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Оцінка виконання вимог регуляторного акта залежно від ресурсів, якими розпоряджаються органи виконавчої влади чи</w:t>
      </w:r>
      <w:r w:rsidR="005446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D80959" w:rsidRPr="00DA41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органи місцевого самоврядування, фізичні та юридичної особи,</w:t>
      </w:r>
      <w:r w:rsidR="005446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="00D80959" w:rsidRPr="00DA41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які повинні проваджувати або виконувати ці вимоги</w:t>
      </w:r>
    </w:p>
    <w:p w:rsidR="0054465D" w:rsidRPr="00DA41FF" w:rsidRDefault="0054465D" w:rsidP="0054465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:rsidR="00D80959" w:rsidRDefault="00D80959" w:rsidP="005446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DA41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Pr="00DA41F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Піщанської сільської ради (територіальної громади</w:t>
      </w:r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), </w:t>
      </w:r>
      <w:r w:rsidR="000E69B0"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</w:t>
      </w:r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егативних наслідків у зв’язку з прийняттям </w:t>
      </w:r>
      <w:r w:rsidR="000E69B0"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регуляторного акта не очікує</w:t>
      </w:r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Впровадження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вимог такого регуляторного акта не потребує додаткових витрат з місцевого та державного бюджетів,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оскільки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здійснюється в межах повноважень органів місцевого самоврядування. Враховуючи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наявний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штат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кваліфікованих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спеціалі</w:t>
      </w:r>
      <w:proofErr w:type="gram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gram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ів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вбачається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високий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рівень реалізації його положень.</w:t>
      </w:r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Запропонований</w:t>
      </w:r>
      <w:proofErr w:type="spell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</w:t>
      </w:r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</w:t>
      </w:r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 регуляторного акта не передбачає бюджетних витрат на адміністрування регулювання для суб’єктів великого, середнього або малого підприємництва, </w:t>
      </w:r>
      <w:proofErr w:type="gramStart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DA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тому числі для комунальних підприємств.</w:t>
      </w:r>
    </w:p>
    <w:p w:rsidR="00CA45D6" w:rsidRDefault="00CA45D6" w:rsidP="005446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ind w:left="825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b/>
          <w:bCs/>
          <w:sz w:val="26"/>
          <w:szCs w:val="26"/>
          <w:lang w:val="en-US" w:eastAsia="ru-RU"/>
        </w:rPr>
        <w:t>VII</w:t>
      </w:r>
      <w:r w:rsidRPr="00CA45D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Pr="00CA45D6">
        <w:rPr>
          <w:rFonts w:ascii="Times New Roman" w:hAnsi="Times New Roman"/>
          <w:b/>
          <w:bCs/>
          <w:sz w:val="26"/>
          <w:szCs w:val="26"/>
          <w:lang w:val="uk-UA" w:eastAsia="ru-RU"/>
        </w:rPr>
        <w:t>Обгрунтування</w:t>
      </w:r>
      <w:proofErr w:type="spellEnd"/>
      <w:r w:rsidRPr="00CA45D6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 запропонованого строку дії регуляторного акту</w:t>
      </w:r>
    </w:p>
    <w:p w:rsidR="00CA45D6" w:rsidRPr="00CA45D6" w:rsidRDefault="00CA45D6" w:rsidP="00CA45D6">
      <w:pPr>
        <w:spacing w:after="0" w:line="240" w:lineRule="auto"/>
        <w:ind w:left="825"/>
        <w:rPr>
          <w:rFonts w:ascii="Times New Roman" w:hAnsi="Times New Roman"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Правила благоустрою</w:t>
      </w:r>
      <w:r w:rsidRPr="00CA45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A41FF">
        <w:rPr>
          <w:rFonts w:ascii="Times New Roman" w:hAnsi="Times New Roman" w:cs="Times New Roman"/>
          <w:sz w:val="26"/>
          <w:szCs w:val="26"/>
          <w:lang w:val="uk-UA"/>
        </w:rPr>
        <w:t>території Піщанської сільської територіальної громади</w:t>
      </w:r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  є місцевим нормативно-правовим актом з необмеженим строком дії.</w:t>
      </w:r>
    </w:p>
    <w:p w:rsidR="00CA45D6" w:rsidRPr="00CA45D6" w:rsidRDefault="00CA45D6" w:rsidP="00CA45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При виникненні змін у чинному законодавстві, які можуть впливати на дію запропонованого акту, а також в разі необхідності, в тому числі за результатами </w:t>
      </w:r>
      <w:r w:rsidRPr="00CA45D6">
        <w:rPr>
          <w:rFonts w:ascii="Times New Roman" w:hAnsi="Times New Roman"/>
          <w:sz w:val="26"/>
          <w:szCs w:val="26"/>
          <w:lang w:val="uk-UA" w:eastAsia="ru-RU"/>
        </w:rPr>
        <w:lastRenderedPageBreak/>
        <w:t>відстеження результативності регуляторного акту, до нього будуть вноситись відповідні корегування.</w:t>
      </w:r>
    </w:p>
    <w:p w:rsidR="00CA45D6" w:rsidRPr="00CA45D6" w:rsidRDefault="00CA45D6" w:rsidP="00CA45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b/>
          <w:bCs/>
          <w:sz w:val="26"/>
          <w:szCs w:val="26"/>
          <w:lang w:val="en-US" w:eastAsia="ru-RU"/>
        </w:rPr>
        <w:t>VIII</w:t>
      </w:r>
      <w:r w:rsidRPr="00CA45D6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Pr="00CA45D6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 Визначення показників результативності дії регуляторного акту</w:t>
      </w:r>
    </w:p>
    <w:p w:rsidR="00CA45D6" w:rsidRPr="00CA45D6" w:rsidRDefault="00CA45D6" w:rsidP="00CA45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Ефективність  даного </w:t>
      </w:r>
      <w:proofErr w:type="spellStart"/>
      <w:r w:rsidRPr="00CA45D6">
        <w:rPr>
          <w:rFonts w:ascii="Times New Roman" w:hAnsi="Times New Roman"/>
          <w:sz w:val="26"/>
          <w:szCs w:val="26"/>
          <w:lang w:val="uk-UA" w:eastAsia="ru-RU"/>
        </w:rPr>
        <w:t>проєкту</w:t>
      </w:r>
      <w:proofErr w:type="spellEnd"/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 регуляторного акту буде відстежуватись на підставі наступних показників:</w:t>
      </w:r>
    </w:p>
    <w:p w:rsidR="00CA45D6" w:rsidRPr="00CA45D6" w:rsidRDefault="00CA45D6" w:rsidP="00CA45D6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кількість порушень у сфері благоустрою та складених за наслідками їх вчинення протоколів та постанов про притягнення до адміністративної відповідальності;</w:t>
      </w:r>
    </w:p>
    <w:p w:rsidR="00CA45D6" w:rsidRPr="00CA45D6" w:rsidRDefault="00CA45D6" w:rsidP="00CA45D6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розміри надходжень до міського бюджету від штрафів за порушення державних стандартів, норм і правил у сфері благоустрою населених пунктів, правил благоустрою територій населених пунктів</w:t>
      </w:r>
      <w:r w:rsidRPr="00CA45D6">
        <w:rPr>
          <w:rFonts w:ascii="Times New Roman" w:hAnsi="Times New Roman"/>
          <w:sz w:val="26"/>
          <w:szCs w:val="26"/>
          <w:lang w:eastAsia="ru-RU"/>
        </w:rPr>
        <w:t>;</w:t>
      </w:r>
    </w:p>
    <w:p w:rsidR="00CA45D6" w:rsidRPr="00CA45D6" w:rsidRDefault="00CA45D6" w:rsidP="00CA45D6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відсутність скарг від фізичних та юридичних осіб, їх об’єднань щодо невпорядкованості процедури розміщення та демонтажу тимчасових споруд для провадження підприємницької діяльності</w:t>
      </w:r>
      <w:r w:rsidRPr="00CA45D6">
        <w:rPr>
          <w:rFonts w:ascii="Times New Roman" w:hAnsi="Times New Roman"/>
          <w:sz w:val="26"/>
          <w:szCs w:val="26"/>
          <w:lang w:eastAsia="ru-RU"/>
        </w:rPr>
        <w:t>;</w:t>
      </w:r>
    </w:p>
    <w:p w:rsidR="00CA45D6" w:rsidRPr="00CA45D6" w:rsidRDefault="00CA45D6" w:rsidP="00CA45D6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порівняння стану благоустрою населених пунктів</w:t>
      </w:r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 з відповідним станом у попередні роки.</w:t>
      </w:r>
    </w:p>
    <w:p w:rsidR="00CA45D6" w:rsidRPr="00CA45D6" w:rsidRDefault="00CA45D6" w:rsidP="00CA45D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45D6">
        <w:rPr>
          <w:rFonts w:ascii="Times New Roman" w:hAnsi="Times New Roman"/>
          <w:sz w:val="26"/>
          <w:szCs w:val="26"/>
          <w:lang w:val="en-US" w:eastAsia="ru-RU"/>
        </w:rPr>
        <w:t> </w:t>
      </w:r>
    </w:p>
    <w:p w:rsidR="00CA45D6" w:rsidRPr="00CA45D6" w:rsidRDefault="00CA45D6" w:rsidP="00CA45D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b/>
          <w:bCs/>
          <w:sz w:val="26"/>
          <w:szCs w:val="26"/>
          <w:lang w:val="en-US" w:eastAsia="ru-RU"/>
        </w:rPr>
        <w:t>IX</w:t>
      </w:r>
      <w:r w:rsidRPr="00CA45D6">
        <w:rPr>
          <w:rFonts w:ascii="Times New Roman" w:hAnsi="Times New Roman"/>
          <w:b/>
          <w:bCs/>
          <w:sz w:val="26"/>
          <w:szCs w:val="26"/>
          <w:lang w:val="uk-UA" w:eastAsia="ru-RU"/>
        </w:rPr>
        <w:t>. Визначення заходів, за допомогою яких здійснюватиметься</w:t>
      </w:r>
    </w:p>
    <w:p w:rsidR="00CA45D6" w:rsidRPr="00CA45D6" w:rsidRDefault="00CA45D6" w:rsidP="00CA45D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A45D6">
        <w:rPr>
          <w:rFonts w:ascii="Times New Roman" w:hAnsi="Times New Roman"/>
          <w:b/>
          <w:bCs/>
          <w:sz w:val="26"/>
          <w:szCs w:val="26"/>
          <w:lang w:val="uk-UA" w:eastAsia="ru-RU"/>
        </w:rPr>
        <w:t>відстеження результативності</w:t>
      </w:r>
    </w:p>
    <w:p w:rsidR="00CA45D6" w:rsidRPr="00CA45D6" w:rsidRDefault="00CA45D6" w:rsidP="00CA4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Відстеження результативності </w:t>
      </w:r>
      <w:proofErr w:type="spellStart"/>
      <w:r w:rsidRPr="00CA45D6">
        <w:rPr>
          <w:rFonts w:ascii="Times New Roman" w:hAnsi="Times New Roman"/>
          <w:sz w:val="26"/>
          <w:szCs w:val="26"/>
          <w:lang w:val="uk-UA" w:eastAsia="ru-RU"/>
        </w:rPr>
        <w:t>проєкту</w:t>
      </w:r>
      <w:proofErr w:type="spellEnd"/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 рішення здійснюватиметься на підставі статистичних даних.</w:t>
      </w:r>
    </w:p>
    <w:p w:rsidR="00CA45D6" w:rsidRPr="00CA45D6" w:rsidRDefault="00CA45D6" w:rsidP="00CA4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Базове відстеження результативності регуляторного акту буде проведено після набрання чинності запропонованого </w:t>
      </w:r>
      <w:proofErr w:type="spellStart"/>
      <w:r w:rsidRPr="00CA45D6">
        <w:rPr>
          <w:rFonts w:ascii="Times New Roman" w:hAnsi="Times New Roman"/>
          <w:sz w:val="26"/>
          <w:szCs w:val="26"/>
          <w:lang w:val="uk-UA" w:eastAsia="ru-RU"/>
        </w:rPr>
        <w:t>проєкту</w:t>
      </w:r>
      <w:proofErr w:type="spellEnd"/>
      <w:r w:rsidRPr="00CA45D6">
        <w:rPr>
          <w:rFonts w:ascii="Times New Roman" w:hAnsi="Times New Roman"/>
          <w:sz w:val="26"/>
          <w:szCs w:val="26"/>
          <w:lang w:val="uk-UA" w:eastAsia="ru-RU"/>
        </w:rPr>
        <w:t xml:space="preserve"> регуляторного акту.</w:t>
      </w:r>
    </w:p>
    <w:p w:rsidR="00CA45D6" w:rsidRPr="00CA45D6" w:rsidRDefault="00CA45D6" w:rsidP="00CA4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Повторне відстеження результативності дії акту буде проведено через рік з дня прийняття цього регуляторного акту.</w:t>
      </w:r>
    </w:p>
    <w:p w:rsidR="00CA45D6" w:rsidRPr="00CA45D6" w:rsidRDefault="00CA45D6" w:rsidP="00CA4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Періодичне відстеження має бути здійснено раз на три роки після проведення повторного відстеження результативності, за кількісними показниками порівнюватися з показниками, визначеними під час повторного відстеження.</w:t>
      </w:r>
    </w:p>
    <w:p w:rsidR="00CA45D6" w:rsidRPr="00CA45D6" w:rsidRDefault="00CA45D6" w:rsidP="00CA4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A45D6">
        <w:rPr>
          <w:rFonts w:ascii="Times New Roman" w:hAnsi="Times New Roman"/>
          <w:sz w:val="26"/>
          <w:szCs w:val="26"/>
          <w:lang w:val="uk-UA" w:eastAsia="ru-RU"/>
        </w:rPr>
        <w:t>У разі виявлення неврегульованих та проблемних моментів, які передбачається встановлювати шляхом аналізу якісних та кількісних показників дії цього акту, буде розглядатись можливість їх виправлення шляхом внесення відповідних змін.</w:t>
      </w:r>
    </w:p>
    <w:p w:rsidR="00CA45D6" w:rsidRPr="00CA45D6" w:rsidRDefault="00CA45D6" w:rsidP="00CA45D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CA45D6" w:rsidRPr="00CA45D6" w:rsidRDefault="00CA45D6" w:rsidP="00CA45D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CA45D6" w:rsidRPr="00CA45D6" w:rsidRDefault="00CA45D6" w:rsidP="00BE4608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</w:p>
    <w:p w:rsidR="00CA45D6" w:rsidRPr="00CA45D6" w:rsidRDefault="00CA45D6" w:rsidP="00CA45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80959" w:rsidRPr="00BE4608" w:rsidRDefault="00D80959" w:rsidP="00CA45D6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80959" w:rsidRPr="00DA41FF" w:rsidRDefault="00D80959" w:rsidP="003440DE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80959" w:rsidRPr="00DA41FF" w:rsidSect="0066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528"/>
    <w:multiLevelType w:val="hybridMultilevel"/>
    <w:tmpl w:val="29D64F64"/>
    <w:lvl w:ilvl="0" w:tplc="77CA0D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27626C6"/>
    <w:multiLevelType w:val="hybridMultilevel"/>
    <w:tmpl w:val="17E627FA"/>
    <w:lvl w:ilvl="0" w:tplc="FAA08AF4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3A125D3"/>
    <w:multiLevelType w:val="hybridMultilevel"/>
    <w:tmpl w:val="F0047810"/>
    <w:lvl w:ilvl="0" w:tplc="FC40E6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FD"/>
    <w:rsid w:val="00077B95"/>
    <w:rsid w:val="000D77CD"/>
    <w:rsid w:val="000E69B0"/>
    <w:rsid w:val="00244AC9"/>
    <w:rsid w:val="00272D30"/>
    <w:rsid w:val="002B5667"/>
    <w:rsid w:val="003440DE"/>
    <w:rsid w:val="00456AF1"/>
    <w:rsid w:val="0054465D"/>
    <w:rsid w:val="005B502F"/>
    <w:rsid w:val="005F71D9"/>
    <w:rsid w:val="0066672F"/>
    <w:rsid w:val="00672E35"/>
    <w:rsid w:val="00742DDC"/>
    <w:rsid w:val="007A5B5F"/>
    <w:rsid w:val="00811AC7"/>
    <w:rsid w:val="008515E0"/>
    <w:rsid w:val="00917A81"/>
    <w:rsid w:val="0098522E"/>
    <w:rsid w:val="00990AD4"/>
    <w:rsid w:val="00A345EE"/>
    <w:rsid w:val="00A45FC5"/>
    <w:rsid w:val="00AB6830"/>
    <w:rsid w:val="00B27DF6"/>
    <w:rsid w:val="00BE4608"/>
    <w:rsid w:val="00C32573"/>
    <w:rsid w:val="00C478A1"/>
    <w:rsid w:val="00C6343F"/>
    <w:rsid w:val="00CA45D6"/>
    <w:rsid w:val="00D0331F"/>
    <w:rsid w:val="00D80959"/>
    <w:rsid w:val="00DA41FF"/>
    <w:rsid w:val="00E75FFD"/>
    <w:rsid w:val="00E84DE7"/>
    <w:rsid w:val="00E92181"/>
    <w:rsid w:val="00ED07C2"/>
    <w:rsid w:val="00F30F35"/>
    <w:rsid w:val="00F64409"/>
    <w:rsid w:val="00FA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A1"/>
    <w:pPr>
      <w:ind w:left="720"/>
      <w:contextualSpacing/>
    </w:pPr>
  </w:style>
  <w:style w:type="table" w:styleId="a4">
    <w:name w:val="Table Grid"/>
    <w:basedOn w:val="a1"/>
    <w:uiPriority w:val="59"/>
    <w:rsid w:val="00B2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DA41FF"/>
    <w:pPr>
      <w:widowControl w:val="0"/>
      <w:autoSpaceDE w:val="0"/>
      <w:autoSpaceDN w:val="0"/>
      <w:spacing w:after="0" w:line="240" w:lineRule="auto"/>
      <w:ind w:left="115" w:firstLine="5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ну вот</cp:lastModifiedBy>
  <cp:revision>8</cp:revision>
  <dcterms:created xsi:type="dcterms:W3CDTF">2023-04-28T12:46:00Z</dcterms:created>
  <dcterms:modified xsi:type="dcterms:W3CDTF">2023-05-12T07:53:00Z</dcterms:modified>
</cp:coreProperties>
</file>