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80" w:rsidRPr="006754D8" w:rsidRDefault="006754D8" w:rsidP="006754D8">
      <w:pPr>
        <w:jc w:val="center"/>
        <w:rPr>
          <w:rFonts w:ascii="Times New Roman" w:hAnsi="Times New Roman" w:cs="Times New Roman"/>
          <w:b/>
          <w:bCs/>
          <w:sz w:val="32"/>
          <w:szCs w:val="32"/>
        </w:rPr>
      </w:pPr>
      <w:r w:rsidRPr="006754D8">
        <w:rPr>
          <w:rFonts w:ascii="Times New Roman" w:hAnsi="Times New Roman" w:cs="Times New Roman"/>
          <w:b/>
          <w:bCs/>
          <w:sz w:val="32"/>
          <w:szCs w:val="32"/>
        </w:rPr>
        <w:t>Аналіз регуляторного впливу</w:t>
      </w:r>
    </w:p>
    <w:p w:rsidR="006754D8" w:rsidRPr="00DD4015" w:rsidRDefault="006754D8" w:rsidP="00D233B4">
      <w:pPr>
        <w:jc w:val="both"/>
        <w:rPr>
          <w:rFonts w:ascii="Times New Roman" w:hAnsi="Times New Roman" w:cs="Times New Roman"/>
          <w:sz w:val="25"/>
          <w:szCs w:val="25"/>
        </w:rPr>
      </w:pPr>
      <w:r w:rsidRPr="00DD4015">
        <w:rPr>
          <w:rFonts w:ascii="Times New Roman" w:hAnsi="Times New Roman" w:cs="Times New Roman"/>
          <w:b/>
          <w:bCs/>
          <w:sz w:val="25"/>
          <w:szCs w:val="25"/>
        </w:rPr>
        <w:t>Назва регуляторного органу</w:t>
      </w:r>
      <w:r w:rsidRPr="00DD4015">
        <w:rPr>
          <w:rFonts w:ascii="Times New Roman" w:hAnsi="Times New Roman" w:cs="Times New Roman"/>
          <w:sz w:val="25"/>
          <w:szCs w:val="25"/>
        </w:rPr>
        <w:t xml:space="preserve"> : Піщанська сільська рада</w:t>
      </w:r>
    </w:p>
    <w:p w:rsidR="006754D8" w:rsidRPr="00DD4015" w:rsidRDefault="006754D8" w:rsidP="00D233B4">
      <w:pPr>
        <w:jc w:val="both"/>
        <w:rPr>
          <w:rFonts w:ascii="Times New Roman" w:hAnsi="Times New Roman" w:cs="Times New Roman"/>
          <w:sz w:val="25"/>
          <w:szCs w:val="25"/>
        </w:rPr>
      </w:pPr>
      <w:r w:rsidRPr="00DD4015">
        <w:rPr>
          <w:rFonts w:ascii="Times New Roman" w:hAnsi="Times New Roman" w:cs="Times New Roman"/>
          <w:b/>
          <w:bCs/>
          <w:sz w:val="25"/>
          <w:szCs w:val="25"/>
        </w:rPr>
        <w:t>Назва документу</w:t>
      </w:r>
      <w:r w:rsidRPr="00DD4015">
        <w:rPr>
          <w:rFonts w:ascii="Times New Roman" w:hAnsi="Times New Roman" w:cs="Times New Roman"/>
          <w:sz w:val="25"/>
          <w:szCs w:val="25"/>
        </w:rPr>
        <w:t xml:space="preserve"> : Проект рішення «</w:t>
      </w:r>
      <w:bookmarkStart w:id="0" w:name="_Hlk93665561"/>
      <w:r w:rsidR="000B05DF" w:rsidRPr="00DD4015">
        <w:rPr>
          <w:rFonts w:ascii="Times New Roman" w:hAnsi="Times New Roman" w:cs="Times New Roman"/>
          <w:sz w:val="25"/>
          <w:szCs w:val="25"/>
        </w:rPr>
        <w:t xml:space="preserve">Про затвердження </w:t>
      </w:r>
      <w:bookmarkStart w:id="1" w:name="_Hlk93657771"/>
      <w:r w:rsidR="000B05DF" w:rsidRPr="00DD4015">
        <w:rPr>
          <w:rFonts w:ascii="Times New Roman" w:hAnsi="Times New Roman" w:cs="Times New Roman"/>
          <w:sz w:val="25"/>
          <w:szCs w:val="25"/>
        </w:rPr>
        <w:t>Положення про порядок розміщення зовнішньої реклами на території Піщанської сільської ради</w:t>
      </w:r>
      <w:bookmarkEnd w:id="0"/>
      <w:bookmarkEnd w:id="1"/>
      <w:r w:rsidRPr="00DD4015">
        <w:rPr>
          <w:rFonts w:ascii="Times New Roman" w:hAnsi="Times New Roman" w:cs="Times New Roman"/>
          <w:sz w:val="25"/>
          <w:szCs w:val="25"/>
        </w:rPr>
        <w:t>»</w:t>
      </w:r>
    </w:p>
    <w:p w:rsidR="006754D8" w:rsidRPr="00DD4015" w:rsidRDefault="006754D8" w:rsidP="00D233B4">
      <w:pPr>
        <w:jc w:val="both"/>
        <w:rPr>
          <w:rFonts w:ascii="Times New Roman" w:hAnsi="Times New Roman" w:cs="Times New Roman"/>
          <w:sz w:val="25"/>
          <w:szCs w:val="25"/>
        </w:rPr>
      </w:pPr>
      <w:r w:rsidRPr="00DD4015">
        <w:rPr>
          <w:rFonts w:ascii="Times New Roman" w:hAnsi="Times New Roman" w:cs="Times New Roman"/>
          <w:b/>
          <w:bCs/>
          <w:sz w:val="25"/>
          <w:szCs w:val="25"/>
        </w:rPr>
        <w:t>Аналіз регуляторного впливу розроблено спільно</w:t>
      </w:r>
      <w:r w:rsidRPr="00DD4015">
        <w:rPr>
          <w:rFonts w:ascii="Times New Roman" w:hAnsi="Times New Roman" w:cs="Times New Roman"/>
          <w:sz w:val="25"/>
          <w:szCs w:val="25"/>
        </w:rPr>
        <w:t xml:space="preserve"> : спеціалістами юридичного та фінансового відділів Піщанської сільської ради.</w:t>
      </w:r>
    </w:p>
    <w:p w:rsidR="00077CEB" w:rsidRPr="00DD4015" w:rsidRDefault="006754D8" w:rsidP="00D233B4">
      <w:pPr>
        <w:pStyle w:val="a3"/>
        <w:numPr>
          <w:ilvl w:val="0"/>
          <w:numId w:val="1"/>
        </w:numPr>
        <w:jc w:val="center"/>
        <w:rPr>
          <w:rFonts w:ascii="Times New Roman" w:hAnsi="Times New Roman" w:cs="Times New Roman"/>
          <w:b/>
          <w:bCs/>
          <w:sz w:val="25"/>
          <w:szCs w:val="25"/>
        </w:rPr>
      </w:pPr>
      <w:r w:rsidRPr="00DD4015">
        <w:rPr>
          <w:rFonts w:ascii="Times New Roman" w:hAnsi="Times New Roman" w:cs="Times New Roman"/>
          <w:b/>
          <w:bCs/>
          <w:sz w:val="25"/>
          <w:szCs w:val="25"/>
        </w:rPr>
        <w:t>Визначення проблеми.</w:t>
      </w:r>
    </w:p>
    <w:p w:rsidR="006754D8" w:rsidRPr="00DD4015" w:rsidRDefault="006754D8" w:rsidP="00D233B4">
      <w:pPr>
        <w:jc w:val="both"/>
        <w:rPr>
          <w:rFonts w:ascii="Times New Roman" w:hAnsi="Times New Roman" w:cs="Times New Roman"/>
          <w:b/>
          <w:bCs/>
          <w:sz w:val="25"/>
          <w:szCs w:val="25"/>
        </w:rPr>
      </w:pPr>
      <w:r w:rsidRPr="00DD4015">
        <w:rPr>
          <w:rFonts w:ascii="Times New Roman" w:hAnsi="Times New Roman" w:cs="Times New Roman"/>
          <w:sz w:val="25"/>
          <w:szCs w:val="25"/>
        </w:rPr>
        <w:t xml:space="preserve">Відповідно до Закону України «Про зовнішню рекламу» розміщення зовнішньої реклами у населених пунктах </w:t>
      </w:r>
      <w:r w:rsidR="00FB35D7" w:rsidRPr="00DD4015">
        <w:rPr>
          <w:rFonts w:ascii="Times New Roman" w:hAnsi="Times New Roman" w:cs="Times New Roman"/>
          <w:sz w:val="25"/>
          <w:szCs w:val="25"/>
        </w:rPr>
        <w:t>провадиться на підставі дозволів, що надаються виконавчими органами місцевих рад, та в порядку, встановленому цими органами на підставі Типових правил розміщення зовнішньої реклами, затверджених Постановою Кабінету Міністрів. Неврегульованість питання на місцевому рівні призводить до виникнення ситуацій неоднозначного застосування норма чинного законодавства, створює невизначену ситуацію щодо об</w:t>
      </w:r>
      <w:r w:rsidR="000B05DF" w:rsidRPr="00DD4015">
        <w:rPr>
          <w:rFonts w:ascii="Times New Roman" w:hAnsi="Times New Roman" w:cs="Times New Roman"/>
          <w:sz w:val="25"/>
          <w:szCs w:val="25"/>
        </w:rPr>
        <w:t>ґ</w:t>
      </w:r>
      <w:r w:rsidR="00FB35D7" w:rsidRPr="00DD4015">
        <w:rPr>
          <w:rFonts w:ascii="Times New Roman" w:hAnsi="Times New Roman" w:cs="Times New Roman"/>
          <w:sz w:val="25"/>
          <w:szCs w:val="25"/>
        </w:rPr>
        <w:t xml:space="preserve">рунтованості </w:t>
      </w:r>
      <w:r w:rsidR="000B05DF" w:rsidRPr="00DD4015">
        <w:rPr>
          <w:rFonts w:ascii="Times New Roman" w:hAnsi="Times New Roman" w:cs="Times New Roman"/>
          <w:sz w:val="25"/>
          <w:szCs w:val="25"/>
        </w:rPr>
        <w:t>отримання коштів за надання у користування міць розташування спеціальних конструкцій.</w:t>
      </w:r>
    </w:p>
    <w:p w:rsidR="000B05DF" w:rsidRPr="00DD4015" w:rsidRDefault="000B05DF" w:rsidP="00D233B4">
      <w:pPr>
        <w:jc w:val="both"/>
        <w:rPr>
          <w:rFonts w:ascii="Times New Roman" w:hAnsi="Times New Roman" w:cs="Times New Roman"/>
          <w:sz w:val="25"/>
          <w:szCs w:val="25"/>
        </w:rPr>
      </w:pPr>
      <w:r w:rsidRPr="00DD4015">
        <w:rPr>
          <w:rFonts w:ascii="Times New Roman" w:hAnsi="Times New Roman" w:cs="Times New Roman"/>
          <w:sz w:val="25"/>
          <w:szCs w:val="25"/>
        </w:rPr>
        <w:t>Таким чином, виникла необхідність розроблення Положення про порядок розміщення зовнішньої реклами на території Піщанської сільської ради .</w:t>
      </w:r>
    </w:p>
    <w:p w:rsidR="000B05DF" w:rsidRPr="00DD4015" w:rsidRDefault="000B05DF" w:rsidP="00D233B4">
      <w:pPr>
        <w:pStyle w:val="a3"/>
        <w:jc w:val="both"/>
        <w:rPr>
          <w:rFonts w:ascii="Times New Roman" w:hAnsi="Times New Roman" w:cs="Times New Roman"/>
          <w:sz w:val="25"/>
          <w:szCs w:val="25"/>
        </w:rPr>
      </w:pPr>
      <w:r w:rsidRPr="00DD4015">
        <w:rPr>
          <w:rFonts w:ascii="Times New Roman" w:hAnsi="Times New Roman" w:cs="Times New Roman"/>
          <w:sz w:val="25"/>
          <w:szCs w:val="25"/>
        </w:rPr>
        <w:t>Основні групи (підгрупи), на які проблема справляє вплив :</w:t>
      </w:r>
    </w:p>
    <w:tbl>
      <w:tblPr>
        <w:tblW w:w="90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2"/>
        <w:gridCol w:w="1339"/>
        <w:gridCol w:w="1063"/>
      </w:tblGrid>
      <w:tr w:rsidR="007021F3" w:rsidRPr="00DD4015" w:rsidTr="00D233B4">
        <w:trPr>
          <w:trHeight w:val="58"/>
        </w:trPr>
        <w:tc>
          <w:tcPr>
            <w:tcW w:w="6632" w:type="dxa"/>
          </w:tcPr>
          <w:p w:rsidR="007021F3" w:rsidRPr="00DD4015" w:rsidRDefault="007021F3" w:rsidP="00D233B4">
            <w:pPr>
              <w:pStyle w:val="a3"/>
              <w:ind w:left="0"/>
              <w:jc w:val="both"/>
              <w:rPr>
                <w:rFonts w:ascii="Times New Roman" w:hAnsi="Times New Roman" w:cs="Times New Roman"/>
                <w:i/>
                <w:iCs/>
                <w:sz w:val="25"/>
                <w:szCs w:val="25"/>
              </w:rPr>
            </w:pPr>
            <w:r w:rsidRPr="00DD4015">
              <w:rPr>
                <w:rFonts w:ascii="Times New Roman" w:hAnsi="Times New Roman" w:cs="Times New Roman"/>
                <w:i/>
                <w:iCs/>
                <w:sz w:val="25"/>
                <w:szCs w:val="25"/>
              </w:rPr>
              <w:t>Групи (підгрупи)</w:t>
            </w:r>
          </w:p>
        </w:tc>
        <w:tc>
          <w:tcPr>
            <w:tcW w:w="1339" w:type="dxa"/>
          </w:tcPr>
          <w:p w:rsidR="007021F3" w:rsidRPr="00DD4015" w:rsidRDefault="007021F3" w:rsidP="00D233B4">
            <w:pPr>
              <w:pStyle w:val="a3"/>
              <w:ind w:left="0"/>
              <w:jc w:val="both"/>
              <w:rPr>
                <w:rFonts w:ascii="Times New Roman" w:hAnsi="Times New Roman" w:cs="Times New Roman"/>
                <w:i/>
                <w:iCs/>
                <w:sz w:val="25"/>
                <w:szCs w:val="25"/>
              </w:rPr>
            </w:pPr>
            <w:r w:rsidRPr="00DD4015">
              <w:rPr>
                <w:rFonts w:ascii="Times New Roman" w:hAnsi="Times New Roman" w:cs="Times New Roman"/>
                <w:i/>
                <w:iCs/>
                <w:sz w:val="25"/>
                <w:szCs w:val="25"/>
              </w:rPr>
              <w:t xml:space="preserve">Так </w:t>
            </w:r>
          </w:p>
        </w:tc>
        <w:tc>
          <w:tcPr>
            <w:tcW w:w="1063" w:type="dxa"/>
          </w:tcPr>
          <w:p w:rsidR="007021F3" w:rsidRPr="00DD4015" w:rsidRDefault="007021F3" w:rsidP="00D233B4">
            <w:pPr>
              <w:pStyle w:val="a3"/>
              <w:ind w:left="0"/>
              <w:jc w:val="both"/>
              <w:rPr>
                <w:rFonts w:ascii="Times New Roman" w:hAnsi="Times New Roman" w:cs="Times New Roman"/>
                <w:i/>
                <w:iCs/>
                <w:sz w:val="25"/>
                <w:szCs w:val="25"/>
              </w:rPr>
            </w:pPr>
            <w:r w:rsidRPr="00DD4015">
              <w:rPr>
                <w:rFonts w:ascii="Times New Roman" w:hAnsi="Times New Roman" w:cs="Times New Roman"/>
                <w:i/>
                <w:iCs/>
                <w:sz w:val="25"/>
                <w:szCs w:val="25"/>
              </w:rPr>
              <w:t xml:space="preserve">Ні </w:t>
            </w:r>
          </w:p>
        </w:tc>
      </w:tr>
      <w:tr w:rsidR="007021F3" w:rsidRPr="00DD4015" w:rsidTr="00D233B4">
        <w:trPr>
          <w:trHeight w:val="33"/>
        </w:trPr>
        <w:tc>
          <w:tcPr>
            <w:tcW w:w="6632" w:type="dxa"/>
          </w:tcPr>
          <w:p w:rsidR="007021F3" w:rsidRPr="00DD4015" w:rsidRDefault="007021F3" w:rsidP="00D233B4">
            <w:pPr>
              <w:pStyle w:val="a3"/>
              <w:ind w:left="0"/>
              <w:jc w:val="both"/>
              <w:rPr>
                <w:rFonts w:ascii="Times New Roman" w:hAnsi="Times New Roman" w:cs="Times New Roman"/>
                <w:sz w:val="25"/>
                <w:szCs w:val="25"/>
              </w:rPr>
            </w:pPr>
            <w:r w:rsidRPr="00DD4015">
              <w:rPr>
                <w:rFonts w:ascii="Times New Roman" w:hAnsi="Times New Roman" w:cs="Times New Roman"/>
                <w:sz w:val="25"/>
                <w:szCs w:val="25"/>
              </w:rPr>
              <w:t xml:space="preserve">Влада </w:t>
            </w:r>
          </w:p>
        </w:tc>
        <w:tc>
          <w:tcPr>
            <w:tcW w:w="1339" w:type="dxa"/>
          </w:tcPr>
          <w:p w:rsidR="007021F3" w:rsidRPr="00DD4015" w:rsidRDefault="007021F3" w:rsidP="00D233B4">
            <w:pPr>
              <w:pStyle w:val="a3"/>
              <w:ind w:left="0"/>
              <w:jc w:val="both"/>
              <w:rPr>
                <w:rFonts w:ascii="Times New Roman" w:hAnsi="Times New Roman" w:cs="Times New Roman"/>
                <w:sz w:val="25"/>
                <w:szCs w:val="25"/>
                <w:lang w:val="en-US"/>
              </w:rPr>
            </w:pPr>
            <w:r w:rsidRPr="00DD4015">
              <w:rPr>
                <w:rFonts w:ascii="Times New Roman" w:hAnsi="Times New Roman" w:cs="Times New Roman"/>
                <w:sz w:val="25"/>
                <w:szCs w:val="25"/>
                <w:lang w:val="en-US"/>
              </w:rPr>
              <w:t>V</w:t>
            </w:r>
          </w:p>
        </w:tc>
        <w:tc>
          <w:tcPr>
            <w:tcW w:w="1063" w:type="dxa"/>
          </w:tcPr>
          <w:p w:rsidR="007021F3" w:rsidRPr="00DD4015" w:rsidRDefault="007021F3" w:rsidP="00D233B4">
            <w:pPr>
              <w:pStyle w:val="a3"/>
              <w:ind w:left="0"/>
              <w:jc w:val="both"/>
              <w:rPr>
                <w:rFonts w:ascii="Times New Roman" w:hAnsi="Times New Roman" w:cs="Times New Roman"/>
                <w:sz w:val="25"/>
                <w:szCs w:val="25"/>
                <w:lang w:val="en-US"/>
              </w:rPr>
            </w:pPr>
            <w:r w:rsidRPr="00DD4015">
              <w:rPr>
                <w:rFonts w:ascii="Times New Roman" w:hAnsi="Times New Roman" w:cs="Times New Roman"/>
                <w:sz w:val="25"/>
                <w:szCs w:val="25"/>
                <w:lang w:val="en-US"/>
              </w:rPr>
              <w:t>-</w:t>
            </w:r>
          </w:p>
        </w:tc>
      </w:tr>
      <w:tr w:rsidR="007021F3" w:rsidRPr="00DD4015" w:rsidTr="00D233B4">
        <w:trPr>
          <w:trHeight w:val="79"/>
        </w:trPr>
        <w:tc>
          <w:tcPr>
            <w:tcW w:w="6632" w:type="dxa"/>
          </w:tcPr>
          <w:p w:rsidR="007021F3" w:rsidRPr="00DD4015" w:rsidRDefault="007021F3" w:rsidP="00D233B4">
            <w:pPr>
              <w:pStyle w:val="a3"/>
              <w:ind w:left="0"/>
              <w:jc w:val="both"/>
              <w:rPr>
                <w:rFonts w:ascii="Times New Roman" w:hAnsi="Times New Roman" w:cs="Times New Roman"/>
                <w:sz w:val="25"/>
                <w:szCs w:val="25"/>
              </w:rPr>
            </w:pPr>
            <w:r w:rsidRPr="00DD4015">
              <w:rPr>
                <w:rFonts w:ascii="Times New Roman" w:hAnsi="Times New Roman" w:cs="Times New Roman"/>
                <w:sz w:val="25"/>
                <w:szCs w:val="25"/>
              </w:rPr>
              <w:t>Громадяни</w:t>
            </w:r>
          </w:p>
        </w:tc>
        <w:tc>
          <w:tcPr>
            <w:tcW w:w="1339" w:type="dxa"/>
          </w:tcPr>
          <w:p w:rsidR="007021F3" w:rsidRPr="00DD4015" w:rsidRDefault="007021F3" w:rsidP="00D233B4">
            <w:pPr>
              <w:pStyle w:val="a3"/>
              <w:ind w:left="0"/>
              <w:jc w:val="both"/>
              <w:rPr>
                <w:rFonts w:ascii="Times New Roman" w:hAnsi="Times New Roman" w:cs="Times New Roman"/>
                <w:sz w:val="25"/>
                <w:szCs w:val="25"/>
                <w:lang w:val="en-US"/>
              </w:rPr>
            </w:pPr>
            <w:r w:rsidRPr="00DD4015">
              <w:rPr>
                <w:rFonts w:ascii="Times New Roman" w:hAnsi="Times New Roman" w:cs="Times New Roman"/>
                <w:sz w:val="25"/>
                <w:szCs w:val="25"/>
                <w:lang w:val="en-US"/>
              </w:rPr>
              <w:t>V</w:t>
            </w:r>
          </w:p>
        </w:tc>
        <w:tc>
          <w:tcPr>
            <w:tcW w:w="1063" w:type="dxa"/>
          </w:tcPr>
          <w:p w:rsidR="007021F3" w:rsidRPr="00DD4015" w:rsidRDefault="007021F3" w:rsidP="00D233B4">
            <w:pPr>
              <w:pStyle w:val="a3"/>
              <w:ind w:left="0"/>
              <w:jc w:val="both"/>
              <w:rPr>
                <w:rFonts w:ascii="Times New Roman" w:hAnsi="Times New Roman" w:cs="Times New Roman"/>
                <w:sz w:val="25"/>
                <w:szCs w:val="25"/>
                <w:lang w:val="en-US"/>
              </w:rPr>
            </w:pPr>
            <w:r w:rsidRPr="00DD4015">
              <w:rPr>
                <w:rFonts w:ascii="Times New Roman" w:hAnsi="Times New Roman" w:cs="Times New Roman"/>
                <w:sz w:val="25"/>
                <w:szCs w:val="25"/>
                <w:lang w:val="en-US"/>
              </w:rPr>
              <w:t>-</w:t>
            </w:r>
          </w:p>
        </w:tc>
      </w:tr>
      <w:tr w:rsidR="007021F3" w:rsidRPr="00DD4015" w:rsidTr="00D233B4">
        <w:trPr>
          <w:trHeight w:val="100"/>
        </w:trPr>
        <w:tc>
          <w:tcPr>
            <w:tcW w:w="6632" w:type="dxa"/>
          </w:tcPr>
          <w:p w:rsidR="007021F3" w:rsidRPr="00DD4015" w:rsidRDefault="007021F3" w:rsidP="00D233B4">
            <w:pPr>
              <w:pStyle w:val="a3"/>
              <w:ind w:left="0"/>
              <w:jc w:val="both"/>
              <w:rPr>
                <w:rFonts w:ascii="Times New Roman" w:hAnsi="Times New Roman" w:cs="Times New Roman"/>
                <w:sz w:val="25"/>
                <w:szCs w:val="25"/>
              </w:rPr>
            </w:pPr>
            <w:r w:rsidRPr="00DD4015">
              <w:rPr>
                <w:rFonts w:ascii="Times New Roman" w:hAnsi="Times New Roman" w:cs="Times New Roman"/>
                <w:sz w:val="25"/>
                <w:szCs w:val="25"/>
              </w:rPr>
              <w:t xml:space="preserve">Суб´єкти господарювання, у тому числі суб´єкти малого підприємництва </w:t>
            </w:r>
          </w:p>
        </w:tc>
        <w:tc>
          <w:tcPr>
            <w:tcW w:w="1339" w:type="dxa"/>
          </w:tcPr>
          <w:p w:rsidR="007021F3" w:rsidRPr="00DD4015" w:rsidRDefault="007021F3" w:rsidP="00D233B4">
            <w:pPr>
              <w:pStyle w:val="a3"/>
              <w:ind w:left="0"/>
              <w:jc w:val="both"/>
              <w:rPr>
                <w:rFonts w:ascii="Times New Roman" w:hAnsi="Times New Roman" w:cs="Times New Roman"/>
                <w:sz w:val="25"/>
                <w:szCs w:val="25"/>
                <w:lang w:val="en-US"/>
              </w:rPr>
            </w:pPr>
            <w:r w:rsidRPr="00DD4015">
              <w:rPr>
                <w:rFonts w:ascii="Times New Roman" w:hAnsi="Times New Roman" w:cs="Times New Roman"/>
                <w:sz w:val="25"/>
                <w:szCs w:val="25"/>
                <w:lang w:val="en-US"/>
              </w:rPr>
              <w:t>V</w:t>
            </w:r>
          </w:p>
        </w:tc>
        <w:tc>
          <w:tcPr>
            <w:tcW w:w="1063" w:type="dxa"/>
          </w:tcPr>
          <w:p w:rsidR="007021F3" w:rsidRPr="00DD4015" w:rsidRDefault="007021F3" w:rsidP="00D233B4">
            <w:pPr>
              <w:pStyle w:val="a3"/>
              <w:ind w:left="0"/>
              <w:jc w:val="both"/>
              <w:rPr>
                <w:rFonts w:ascii="Times New Roman" w:hAnsi="Times New Roman" w:cs="Times New Roman"/>
                <w:sz w:val="25"/>
                <w:szCs w:val="25"/>
                <w:lang w:val="en-US"/>
              </w:rPr>
            </w:pPr>
            <w:r w:rsidRPr="00DD4015">
              <w:rPr>
                <w:rFonts w:ascii="Times New Roman" w:hAnsi="Times New Roman" w:cs="Times New Roman"/>
                <w:sz w:val="25"/>
                <w:szCs w:val="25"/>
                <w:lang w:val="en-US"/>
              </w:rPr>
              <w:t>-</w:t>
            </w:r>
          </w:p>
        </w:tc>
      </w:tr>
      <w:tr w:rsidR="007021F3" w:rsidRPr="00DD4015" w:rsidTr="00D233B4">
        <w:trPr>
          <w:trHeight w:val="517"/>
        </w:trPr>
        <w:tc>
          <w:tcPr>
            <w:tcW w:w="9034" w:type="dxa"/>
            <w:gridSpan w:val="3"/>
            <w:tcBorders>
              <w:left w:val="nil"/>
              <w:bottom w:val="nil"/>
              <w:right w:val="nil"/>
            </w:tcBorders>
          </w:tcPr>
          <w:p w:rsidR="007021F3" w:rsidRPr="00DD4015" w:rsidRDefault="007021F3" w:rsidP="00D233B4">
            <w:pPr>
              <w:jc w:val="both"/>
              <w:rPr>
                <w:rFonts w:ascii="Times New Roman" w:hAnsi="Times New Roman" w:cs="Times New Roman"/>
                <w:sz w:val="25"/>
                <w:szCs w:val="25"/>
              </w:rPr>
            </w:pPr>
          </w:p>
        </w:tc>
      </w:tr>
    </w:tbl>
    <w:p w:rsidR="009B6B1D" w:rsidRPr="00D233B4" w:rsidRDefault="009B6B1D" w:rsidP="00D233B4">
      <w:pPr>
        <w:jc w:val="center"/>
        <w:rPr>
          <w:rFonts w:ascii="Times New Roman" w:hAnsi="Times New Roman" w:cs="Times New Roman"/>
          <w:b/>
          <w:bCs/>
          <w:sz w:val="25"/>
          <w:szCs w:val="25"/>
        </w:rPr>
      </w:pPr>
      <w:r w:rsidRPr="00D233B4">
        <w:rPr>
          <w:rFonts w:ascii="Times New Roman" w:hAnsi="Times New Roman" w:cs="Times New Roman"/>
          <w:b/>
          <w:bCs/>
          <w:sz w:val="25"/>
          <w:szCs w:val="25"/>
        </w:rPr>
        <w:t>2.Цілі регулювання.</w:t>
      </w:r>
    </w:p>
    <w:p w:rsidR="009B6B1D" w:rsidRPr="00DD4015" w:rsidRDefault="009B6B1D" w:rsidP="00D233B4">
      <w:pPr>
        <w:jc w:val="both"/>
        <w:rPr>
          <w:rFonts w:ascii="Times New Roman" w:hAnsi="Times New Roman" w:cs="Times New Roman"/>
          <w:sz w:val="25"/>
          <w:szCs w:val="25"/>
        </w:rPr>
      </w:pPr>
      <w:r w:rsidRPr="00DD4015">
        <w:rPr>
          <w:rFonts w:ascii="Times New Roman" w:hAnsi="Times New Roman" w:cs="Times New Roman"/>
          <w:sz w:val="25"/>
          <w:szCs w:val="25"/>
        </w:rPr>
        <w:t>Прийняття рішення «Про затвердження Положення про порядок розміщення зовнішньої реклами на території Піщанської сільської ради» забезпечить  врегулювання взаємовідносин, що виникають між  Піщанською сільською радою та розповсюджувачами зовнішньої реклами, які передбачають її розміщення на території населених пунктів Піщанської сільської ради відповідно до вимог чинного законодавства .</w:t>
      </w:r>
    </w:p>
    <w:p w:rsidR="009B6B1D" w:rsidRPr="00DD4015" w:rsidRDefault="009B6B1D" w:rsidP="00D233B4">
      <w:pPr>
        <w:jc w:val="both"/>
        <w:rPr>
          <w:rFonts w:ascii="Times New Roman" w:hAnsi="Times New Roman" w:cs="Times New Roman"/>
          <w:sz w:val="25"/>
          <w:szCs w:val="25"/>
        </w:rPr>
      </w:pPr>
      <w:r w:rsidRPr="00DD4015">
        <w:rPr>
          <w:rFonts w:ascii="Times New Roman" w:hAnsi="Times New Roman" w:cs="Times New Roman"/>
          <w:sz w:val="25"/>
          <w:szCs w:val="25"/>
        </w:rPr>
        <w:t>Вирішити проблему описану в першому розділі.</w:t>
      </w:r>
    </w:p>
    <w:p w:rsidR="009B6B1D" w:rsidRPr="00DD4015" w:rsidRDefault="009B6B1D" w:rsidP="00D233B4">
      <w:pPr>
        <w:jc w:val="both"/>
        <w:rPr>
          <w:rFonts w:ascii="Times New Roman" w:hAnsi="Times New Roman" w:cs="Times New Roman"/>
          <w:sz w:val="25"/>
          <w:szCs w:val="25"/>
        </w:rPr>
      </w:pPr>
      <w:r w:rsidRPr="00DD4015">
        <w:rPr>
          <w:rFonts w:ascii="Times New Roman" w:hAnsi="Times New Roman" w:cs="Times New Roman"/>
          <w:sz w:val="25"/>
          <w:szCs w:val="25"/>
        </w:rPr>
        <w:t>Основними цілями прийняття є :</w:t>
      </w:r>
    </w:p>
    <w:p w:rsidR="009B6B1D" w:rsidRPr="00DD4015" w:rsidRDefault="00DD4015" w:rsidP="00D233B4">
      <w:pPr>
        <w:pStyle w:val="a3"/>
        <w:ind w:left="0"/>
        <w:jc w:val="both"/>
        <w:rPr>
          <w:rFonts w:ascii="Times New Roman" w:hAnsi="Times New Roman" w:cs="Times New Roman"/>
          <w:sz w:val="25"/>
          <w:szCs w:val="25"/>
        </w:rPr>
      </w:pPr>
      <w:r w:rsidRPr="00DD4015">
        <w:rPr>
          <w:rFonts w:ascii="Times New Roman" w:hAnsi="Times New Roman" w:cs="Times New Roman"/>
          <w:sz w:val="25"/>
          <w:szCs w:val="25"/>
        </w:rPr>
        <w:t xml:space="preserve">- </w:t>
      </w:r>
      <w:r w:rsidR="009B6B1D" w:rsidRPr="00DD4015">
        <w:rPr>
          <w:rFonts w:ascii="Times New Roman" w:hAnsi="Times New Roman" w:cs="Times New Roman"/>
          <w:sz w:val="25"/>
          <w:szCs w:val="25"/>
        </w:rPr>
        <w:t>Забезпечення дотримання вимог чинного законодавства у сфері розміщення зовнішньої реклами;</w:t>
      </w:r>
    </w:p>
    <w:p w:rsidR="009B6B1D" w:rsidRPr="00DD4015" w:rsidRDefault="00DD4015" w:rsidP="00D233B4">
      <w:pPr>
        <w:pStyle w:val="a3"/>
        <w:ind w:left="0"/>
        <w:jc w:val="both"/>
        <w:rPr>
          <w:rFonts w:ascii="Times New Roman" w:hAnsi="Times New Roman" w:cs="Times New Roman"/>
          <w:sz w:val="25"/>
          <w:szCs w:val="25"/>
        </w:rPr>
      </w:pPr>
      <w:r w:rsidRPr="00DD4015">
        <w:rPr>
          <w:rFonts w:ascii="Times New Roman" w:hAnsi="Times New Roman" w:cs="Times New Roman"/>
          <w:sz w:val="25"/>
          <w:szCs w:val="25"/>
        </w:rPr>
        <w:t xml:space="preserve">-  </w:t>
      </w:r>
      <w:r w:rsidR="009B6B1D" w:rsidRPr="00DD4015">
        <w:rPr>
          <w:rFonts w:ascii="Times New Roman" w:hAnsi="Times New Roman" w:cs="Times New Roman"/>
          <w:sz w:val="25"/>
          <w:szCs w:val="25"/>
        </w:rPr>
        <w:t xml:space="preserve">Впорядкування розміщення </w:t>
      </w:r>
      <w:r w:rsidRPr="00DD4015">
        <w:rPr>
          <w:rFonts w:ascii="Times New Roman" w:hAnsi="Times New Roman" w:cs="Times New Roman"/>
          <w:sz w:val="25"/>
          <w:szCs w:val="25"/>
        </w:rPr>
        <w:t>об’єктів</w:t>
      </w:r>
      <w:r w:rsidR="009B6B1D" w:rsidRPr="00DD4015">
        <w:rPr>
          <w:rFonts w:ascii="Times New Roman" w:hAnsi="Times New Roman" w:cs="Times New Roman"/>
          <w:sz w:val="25"/>
          <w:szCs w:val="25"/>
        </w:rPr>
        <w:t xml:space="preserve"> зовнішньої реклами ;</w:t>
      </w:r>
    </w:p>
    <w:p w:rsidR="009B6B1D" w:rsidRPr="00DD4015" w:rsidRDefault="00DD4015" w:rsidP="00D233B4">
      <w:pPr>
        <w:pStyle w:val="a3"/>
        <w:ind w:left="0"/>
        <w:jc w:val="both"/>
        <w:rPr>
          <w:rFonts w:ascii="Times New Roman" w:hAnsi="Times New Roman" w:cs="Times New Roman"/>
          <w:sz w:val="25"/>
          <w:szCs w:val="25"/>
        </w:rPr>
      </w:pPr>
      <w:r w:rsidRPr="00DD4015">
        <w:rPr>
          <w:rFonts w:ascii="Times New Roman" w:hAnsi="Times New Roman" w:cs="Times New Roman"/>
          <w:sz w:val="25"/>
          <w:szCs w:val="25"/>
        </w:rPr>
        <w:t xml:space="preserve">-  </w:t>
      </w:r>
      <w:r w:rsidR="009B6B1D" w:rsidRPr="00DD4015">
        <w:rPr>
          <w:rFonts w:ascii="Times New Roman" w:hAnsi="Times New Roman" w:cs="Times New Roman"/>
          <w:sz w:val="25"/>
          <w:szCs w:val="25"/>
        </w:rPr>
        <w:t>Створення єдиного естетичного середовища ;</w:t>
      </w:r>
    </w:p>
    <w:p w:rsidR="009B6B1D" w:rsidRPr="00DD4015" w:rsidRDefault="00DD4015" w:rsidP="00D233B4">
      <w:pPr>
        <w:pStyle w:val="a3"/>
        <w:ind w:left="0"/>
        <w:jc w:val="both"/>
        <w:rPr>
          <w:rFonts w:ascii="Times New Roman" w:hAnsi="Times New Roman" w:cs="Times New Roman"/>
          <w:sz w:val="25"/>
          <w:szCs w:val="25"/>
        </w:rPr>
      </w:pPr>
      <w:r w:rsidRPr="00DD4015">
        <w:rPr>
          <w:rFonts w:ascii="Times New Roman" w:hAnsi="Times New Roman" w:cs="Times New Roman"/>
          <w:sz w:val="25"/>
          <w:szCs w:val="25"/>
        </w:rPr>
        <w:t xml:space="preserve">-  </w:t>
      </w:r>
      <w:r w:rsidR="009B6B1D" w:rsidRPr="00DD4015">
        <w:rPr>
          <w:rFonts w:ascii="Times New Roman" w:hAnsi="Times New Roman" w:cs="Times New Roman"/>
          <w:sz w:val="25"/>
          <w:szCs w:val="25"/>
        </w:rPr>
        <w:t>Створення єдиних умов для діяльності всіх суб´єктів господарської діяльності у сфері зовнішньої реклами.</w:t>
      </w:r>
    </w:p>
    <w:p w:rsidR="00B923AC" w:rsidRPr="00DD4015" w:rsidRDefault="00B923AC" w:rsidP="00D233B4">
      <w:pPr>
        <w:pStyle w:val="a3"/>
        <w:jc w:val="both"/>
        <w:rPr>
          <w:rFonts w:ascii="Times New Roman" w:hAnsi="Times New Roman" w:cs="Times New Roman"/>
          <w:sz w:val="25"/>
          <w:szCs w:val="25"/>
        </w:rPr>
      </w:pPr>
    </w:p>
    <w:p w:rsidR="009B6B1D" w:rsidRPr="00DD4015" w:rsidRDefault="00A653BF" w:rsidP="00D233B4">
      <w:pPr>
        <w:pStyle w:val="a3"/>
        <w:jc w:val="center"/>
        <w:rPr>
          <w:rFonts w:ascii="Times New Roman" w:hAnsi="Times New Roman" w:cs="Times New Roman"/>
          <w:b/>
          <w:bCs/>
          <w:sz w:val="25"/>
          <w:szCs w:val="25"/>
        </w:rPr>
      </w:pPr>
      <w:r w:rsidRPr="00DD4015">
        <w:rPr>
          <w:rFonts w:ascii="Times New Roman" w:hAnsi="Times New Roman" w:cs="Times New Roman"/>
          <w:b/>
          <w:bCs/>
          <w:sz w:val="25"/>
          <w:szCs w:val="25"/>
        </w:rPr>
        <w:lastRenderedPageBreak/>
        <w:t>3</w:t>
      </w:r>
      <w:r w:rsidR="00B923AC" w:rsidRPr="00DD4015">
        <w:rPr>
          <w:rFonts w:ascii="Times New Roman" w:hAnsi="Times New Roman" w:cs="Times New Roman"/>
          <w:b/>
          <w:bCs/>
          <w:sz w:val="25"/>
          <w:szCs w:val="25"/>
        </w:rPr>
        <w:t>.</w:t>
      </w:r>
      <w:r w:rsidR="009B6B1D" w:rsidRPr="00DD4015">
        <w:rPr>
          <w:rFonts w:ascii="Times New Roman" w:hAnsi="Times New Roman" w:cs="Times New Roman"/>
          <w:b/>
          <w:bCs/>
          <w:sz w:val="25"/>
          <w:szCs w:val="25"/>
        </w:rPr>
        <w:t>Визначення та оцінка альтернативних способів досягнення цілей.</w:t>
      </w:r>
    </w:p>
    <w:p w:rsidR="009B6B1D" w:rsidRPr="00DD4015" w:rsidRDefault="00B923AC" w:rsidP="00D233B4">
      <w:pPr>
        <w:pStyle w:val="a3"/>
        <w:jc w:val="both"/>
        <w:rPr>
          <w:rFonts w:ascii="Times New Roman" w:hAnsi="Times New Roman" w:cs="Times New Roman"/>
          <w:sz w:val="25"/>
          <w:szCs w:val="25"/>
        </w:rPr>
      </w:pPr>
      <w:r w:rsidRPr="00DD4015">
        <w:rPr>
          <w:rFonts w:ascii="Times New Roman" w:hAnsi="Times New Roman" w:cs="Times New Roman"/>
          <w:sz w:val="25"/>
          <w:szCs w:val="25"/>
        </w:rPr>
        <w:t>1.</w:t>
      </w:r>
      <w:r w:rsidR="009B6B1D" w:rsidRPr="00DD4015">
        <w:rPr>
          <w:rFonts w:ascii="Times New Roman" w:hAnsi="Times New Roman" w:cs="Times New Roman"/>
          <w:sz w:val="25"/>
          <w:szCs w:val="25"/>
        </w:rPr>
        <w:t>Визначення альтернативних способів.</w:t>
      </w:r>
    </w:p>
    <w:p w:rsidR="000B05DF" w:rsidRPr="00DD4015" w:rsidRDefault="009B6B1D" w:rsidP="00D233B4">
      <w:pPr>
        <w:jc w:val="both"/>
        <w:rPr>
          <w:rFonts w:ascii="Times New Roman" w:hAnsi="Times New Roman" w:cs="Times New Roman"/>
          <w:sz w:val="25"/>
          <w:szCs w:val="25"/>
        </w:rPr>
      </w:pPr>
      <w:r w:rsidRPr="00DD4015">
        <w:rPr>
          <w:rFonts w:ascii="Times New Roman" w:hAnsi="Times New Roman" w:cs="Times New Roman"/>
          <w:sz w:val="25"/>
          <w:szCs w:val="25"/>
        </w:rPr>
        <w:t>У ході визначення альтернативних способів досягнення встановлених цілей державного регулювання доцільно розглянути наступні прийнятні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7050"/>
      </w:tblGrid>
      <w:tr w:rsidR="00077CEB" w:rsidRPr="00DD4015" w:rsidTr="00DD4015">
        <w:trPr>
          <w:trHeight w:val="495"/>
        </w:trPr>
        <w:tc>
          <w:tcPr>
            <w:tcW w:w="2550" w:type="dxa"/>
          </w:tcPr>
          <w:p w:rsidR="00077CEB" w:rsidRPr="00DD4015" w:rsidRDefault="00077CEB" w:rsidP="00D233B4">
            <w:pPr>
              <w:ind w:left="262"/>
              <w:jc w:val="both"/>
              <w:rPr>
                <w:rFonts w:ascii="Times New Roman" w:hAnsi="Times New Roman" w:cs="Times New Roman"/>
                <w:sz w:val="25"/>
                <w:szCs w:val="25"/>
              </w:rPr>
            </w:pPr>
            <w:r w:rsidRPr="00DD4015">
              <w:rPr>
                <w:rFonts w:ascii="Times New Roman" w:hAnsi="Times New Roman" w:cs="Times New Roman"/>
                <w:sz w:val="25"/>
                <w:szCs w:val="25"/>
              </w:rPr>
              <w:t>Види альтернативи</w:t>
            </w:r>
          </w:p>
        </w:tc>
        <w:tc>
          <w:tcPr>
            <w:tcW w:w="7050" w:type="dxa"/>
          </w:tcPr>
          <w:p w:rsidR="00077CEB" w:rsidRPr="00DD4015" w:rsidRDefault="00077CEB" w:rsidP="00D233B4">
            <w:pPr>
              <w:ind w:left="262"/>
              <w:jc w:val="both"/>
              <w:rPr>
                <w:rFonts w:ascii="Times New Roman" w:hAnsi="Times New Roman" w:cs="Times New Roman"/>
                <w:sz w:val="25"/>
                <w:szCs w:val="25"/>
              </w:rPr>
            </w:pPr>
            <w:r w:rsidRPr="00DD4015">
              <w:rPr>
                <w:rFonts w:ascii="Times New Roman" w:hAnsi="Times New Roman" w:cs="Times New Roman"/>
                <w:sz w:val="25"/>
                <w:szCs w:val="25"/>
              </w:rPr>
              <w:t>Опис альтернативи</w:t>
            </w:r>
          </w:p>
        </w:tc>
      </w:tr>
      <w:tr w:rsidR="00077CEB" w:rsidRPr="00DD4015" w:rsidTr="00DD4015">
        <w:trPr>
          <w:trHeight w:val="750"/>
        </w:trPr>
        <w:tc>
          <w:tcPr>
            <w:tcW w:w="2550" w:type="dxa"/>
          </w:tcPr>
          <w:p w:rsidR="00077CEB" w:rsidRPr="00DD4015" w:rsidRDefault="00077CEB" w:rsidP="00D233B4">
            <w:pPr>
              <w:ind w:left="262"/>
              <w:jc w:val="both"/>
              <w:rPr>
                <w:rFonts w:ascii="Times New Roman" w:hAnsi="Times New Roman" w:cs="Times New Roman"/>
                <w:sz w:val="25"/>
                <w:szCs w:val="25"/>
              </w:rPr>
            </w:pPr>
            <w:r w:rsidRPr="00DD4015">
              <w:rPr>
                <w:rFonts w:ascii="Times New Roman" w:hAnsi="Times New Roman" w:cs="Times New Roman"/>
                <w:sz w:val="25"/>
                <w:szCs w:val="25"/>
              </w:rPr>
              <w:t xml:space="preserve">Альтернатива 1 </w:t>
            </w:r>
          </w:p>
        </w:tc>
        <w:tc>
          <w:tcPr>
            <w:tcW w:w="7050" w:type="dxa"/>
          </w:tcPr>
          <w:p w:rsidR="00077CEB" w:rsidRPr="00DD4015" w:rsidRDefault="00077CEB" w:rsidP="00D233B4">
            <w:pPr>
              <w:ind w:left="262"/>
              <w:jc w:val="both"/>
              <w:rPr>
                <w:rFonts w:ascii="Times New Roman" w:hAnsi="Times New Roman" w:cs="Times New Roman"/>
                <w:sz w:val="25"/>
                <w:szCs w:val="25"/>
              </w:rPr>
            </w:pPr>
            <w:r w:rsidRPr="00DD4015">
              <w:rPr>
                <w:rFonts w:ascii="Times New Roman" w:hAnsi="Times New Roman" w:cs="Times New Roman"/>
                <w:sz w:val="25"/>
                <w:szCs w:val="25"/>
              </w:rPr>
              <w:t>Відмовитись від регулювання. Дана альтернатива є неприйнятною, оскільки суперечить діючому законодавству України. Проблема не розв´я</w:t>
            </w:r>
            <w:r w:rsidR="00895F69" w:rsidRPr="00DD4015">
              <w:rPr>
                <w:rFonts w:ascii="Times New Roman" w:hAnsi="Times New Roman" w:cs="Times New Roman"/>
                <w:sz w:val="25"/>
                <w:szCs w:val="25"/>
              </w:rPr>
              <w:t>зується.</w:t>
            </w:r>
          </w:p>
        </w:tc>
      </w:tr>
      <w:tr w:rsidR="00077CEB" w:rsidRPr="00DD4015" w:rsidTr="00DD4015">
        <w:trPr>
          <w:trHeight w:val="780"/>
        </w:trPr>
        <w:tc>
          <w:tcPr>
            <w:tcW w:w="2550" w:type="dxa"/>
          </w:tcPr>
          <w:p w:rsidR="00077CEB" w:rsidRPr="00DD4015" w:rsidRDefault="00895F69" w:rsidP="00D233B4">
            <w:pPr>
              <w:ind w:left="262"/>
              <w:jc w:val="both"/>
              <w:rPr>
                <w:rFonts w:ascii="Times New Roman" w:hAnsi="Times New Roman" w:cs="Times New Roman"/>
                <w:sz w:val="25"/>
                <w:szCs w:val="25"/>
              </w:rPr>
            </w:pPr>
            <w:r w:rsidRPr="00DD4015">
              <w:rPr>
                <w:rFonts w:ascii="Times New Roman" w:hAnsi="Times New Roman" w:cs="Times New Roman"/>
                <w:sz w:val="25"/>
                <w:szCs w:val="25"/>
              </w:rPr>
              <w:t>Альтернатива 2</w:t>
            </w:r>
          </w:p>
        </w:tc>
        <w:tc>
          <w:tcPr>
            <w:tcW w:w="7050" w:type="dxa"/>
          </w:tcPr>
          <w:p w:rsidR="00077CEB" w:rsidRPr="00DD4015" w:rsidRDefault="00895F69" w:rsidP="00D233B4">
            <w:pPr>
              <w:ind w:left="262"/>
              <w:jc w:val="both"/>
              <w:rPr>
                <w:rFonts w:ascii="Times New Roman" w:hAnsi="Times New Roman" w:cs="Times New Roman"/>
                <w:sz w:val="25"/>
                <w:szCs w:val="25"/>
              </w:rPr>
            </w:pPr>
            <w:r w:rsidRPr="00DD4015">
              <w:rPr>
                <w:rFonts w:ascii="Times New Roman" w:hAnsi="Times New Roman" w:cs="Times New Roman"/>
                <w:sz w:val="25"/>
                <w:szCs w:val="25"/>
              </w:rPr>
              <w:t>Обраний спосіб забезпечення регулювання затвердження Правил розміщення зовнішньої реклами на території Піщанської сільської ради.</w:t>
            </w:r>
          </w:p>
          <w:p w:rsidR="00895F69" w:rsidRPr="00DD4015" w:rsidRDefault="00895F69" w:rsidP="00D233B4">
            <w:pPr>
              <w:ind w:left="262"/>
              <w:jc w:val="both"/>
              <w:rPr>
                <w:rFonts w:ascii="Times New Roman" w:hAnsi="Times New Roman" w:cs="Times New Roman"/>
                <w:sz w:val="25"/>
                <w:szCs w:val="25"/>
              </w:rPr>
            </w:pPr>
            <w:r w:rsidRPr="00DD4015">
              <w:rPr>
                <w:rFonts w:ascii="Times New Roman" w:hAnsi="Times New Roman" w:cs="Times New Roman"/>
                <w:sz w:val="25"/>
                <w:szCs w:val="25"/>
              </w:rPr>
              <w:t>Запропонований  спосіб є актуальним вирішенням ситуації, що склалася, забезпечує реалізацію принципів державної політики. Крім того, досягає завдань регулювання, встановлює єдиний, чіткий, прозорий порядок розміщення зовнішньої реклами та забезпечить виконання норм чинного законодавства. Перевагами обраного способу регулювання є:</w:t>
            </w:r>
          </w:p>
          <w:p w:rsidR="00895F69" w:rsidRPr="00DD4015" w:rsidRDefault="00895F69"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Формування інформаційної бази об´єктів зовнішньої реклами;</w:t>
            </w:r>
          </w:p>
          <w:p w:rsidR="00895F69" w:rsidRPr="00DD4015" w:rsidRDefault="00895F69"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 xml:space="preserve"> </w:t>
            </w:r>
            <w:r w:rsidR="00B370CC" w:rsidRPr="00DD4015">
              <w:rPr>
                <w:rFonts w:ascii="Times New Roman" w:hAnsi="Times New Roman" w:cs="Times New Roman"/>
                <w:sz w:val="25"/>
                <w:szCs w:val="25"/>
              </w:rPr>
              <w:t>Збільшення надходжень до місцевого бюджету від розміщення об´єктів зовнішньої реклами;</w:t>
            </w:r>
          </w:p>
          <w:p w:rsidR="00B370CC" w:rsidRPr="00DD4015" w:rsidRDefault="00B370CC"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Систематизація розміщення рекламних конструкцій ;</w:t>
            </w:r>
          </w:p>
          <w:p w:rsidR="00B370CC" w:rsidRPr="00DD4015" w:rsidRDefault="00B370CC"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Зменшення чисельності самовільно встановлених рекламних конструкцій.</w:t>
            </w:r>
          </w:p>
        </w:tc>
      </w:tr>
    </w:tbl>
    <w:p w:rsidR="006754D8" w:rsidRPr="00DD4015" w:rsidRDefault="006754D8" w:rsidP="00D233B4">
      <w:pPr>
        <w:jc w:val="both"/>
        <w:rPr>
          <w:rFonts w:ascii="Times New Roman" w:hAnsi="Times New Roman" w:cs="Times New Roman"/>
          <w:sz w:val="25"/>
          <w:szCs w:val="25"/>
        </w:rPr>
      </w:pPr>
    </w:p>
    <w:p w:rsidR="00B370CC" w:rsidRPr="00DD4015" w:rsidRDefault="00B923AC" w:rsidP="00D233B4">
      <w:pPr>
        <w:pStyle w:val="a3"/>
        <w:jc w:val="both"/>
        <w:rPr>
          <w:rFonts w:ascii="Times New Roman" w:hAnsi="Times New Roman" w:cs="Times New Roman"/>
          <w:sz w:val="25"/>
          <w:szCs w:val="25"/>
        </w:rPr>
      </w:pPr>
      <w:r w:rsidRPr="00DD4015">
        <w:rPr>
          <w:rFonts w:ascii="Times New Roman" w:hAnsi="Times New Roman" w:cs="Times New Roman"/>
          <w:sz w:val="25"/>
          <w:szCs w:val="25"/>
        </w:rPr>
        <w:t>2.</w:t>
      </w:r>
      <w:r w:rsidR="00B370CC" w:rsidRPr="00DD4015">
        <w:rPr>
          <w:rFonts w:ascii="Times New Roman" w:hAnsi="Times New Roman" w:cs="Times New Roman"/>
          <w:sz w:val="25"/>
          <w:szCs w:val="25"/>
        </w:rPr>
        <w:t>Оцінка вибраних альтернативних способів досягнення цілей.</w:t>
      </w:r>
    </w:p>
    <w:p w:rsidR="00B370CC" w:rsidRPr="00DD4015" w:rsidRDefault="00B370CC" w:rsidP="00D233B4">
      <w:pPr>
        <w:ind w:left="360"/>
        <w:jc w:val="both"/>
        <w:rPr>
          <w:rFonts w:ascii="Times New Roman" w:hAnsi="Times New Roman" w:cs="Times New Roman"/>
          <w:sz w:val="25"/>
          <w:szCs w:val="25"/>
        </w:rPr>
      </w:pPr>
      <w:r w:rsidRPr="00DD4015">
        <w:rPr>
          <w:rFonts w:ascii="Times New Roman" w:hAnsi="Times New Roman" w:cs="Times New Roman"/>
          <w:sz w:val="25"/>
          <w:szCs w:val="25"/>
        </w:rPr>
        <w:t>Нижче наведено опис вигод та витрат за кожною альтернативою для сфер інтересів держави, громадян та суб´єктів господарювання.</w:t>
      </w:r>
    </w:p>
    <w:p w:rsidR="00B370CC" w:rsidRPr="00DD4015" w:rsidRDefault="00B370CC" w:rsidP="00D233B4">
      <w:pPr>
        <w:ind w:left="360"/>
        <w:jc w:val="both"/>
        <w:rPr>
          <w:rFonts w:ascii="Times New Roman" w:hAnsi="Times New Roman" w:cs="Times New Roman"/>
          <w:sz w:val="25"/>
          <w:szCs w:val="25"/>
        </w:rPr>
      </w:pPr>
      <w:r w:rsidRPr="00DD4015">
        <w:rPr>
          <w:rFonts w:ascii="Times New Roman" w:hAnsi="Times New Roman" w:cs="Times New Roman"/>
          <w:sz w:val="25"/>
          <w:szCs w:val="25"/>
        </w:rPr>
        <w:t>Оцінка впливу на сферу інтересів держава :</w:t>
      </w:r>
    </w:p>
    <w:tbl>
      <w:tblPr>
        <w:tblW w:w="94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4278"/>
        <w:gridCol w:w="3150"/>
      </w:tblGrid>
      <w:tr w:rsidR="00B370CC" w:rsidRPr="00DD4015" w:rsidTr="00DD4015">
        <w:trPr>
          <w:trHeight w:val="450"/>
        </w:trPr>
        <w:tc>
          <w:tcPr>
            <w:tcW w:w="1985" w:type="dxa"/>
          </w:tcPr>
          <w:p w:rsidR="00B370CC" w:rsidRPr="00DD4015" w:rsidRDefault="00B370CC" w:rsidP="00D233B4">
            <w:pPr>
              <w:jc w:val="both"/>
              <w:rPr>
                <w:rFonts w:ascii="Times New Roman" w:hAnsi="Times New Roman" w:cs="Times New Roman"/>
                <w:sz w:val="25"/>
                <w:szCs w:val="25"/>
              </w:rPr>
            </w:pPr>
            <w:r w:rsidRPr="00DD4015">
              <w:rPr>
                <w:rFonts w:ascii="Times New Roman" w:hAnsi="Times New Roman" w:cs="Times New Roman"/>
                <w:sz w:val="25"/>
                <w:szCs w:val="25"/>
              </w:rPr>
              <w:t>Вид альтернативи</w:t>
            </w:r>
          </w:p>
        </w:tc>
        <w:tc>
          <w:tcPr>
            <w:tcW w:w="4278" w:type="dxa"/>
          </w:tcPr>
          <w:p w:rsidR="00B370CC" w:rsidRPr="00DD4015" w:rsidRDefault="00B370CC"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Вигода </w:t>
            </w:r>
          </w:p>
        </w:tc>
        <w:tc>
          <w:tcPr>
            <w:tcW w:w="3150" w:type="dxa"/>
          </w:tcPr>
          <w:p w:rsidR="00B370CC" w:rsidRPr="00DD4015" w:rsidRDefault="00B370CC" w:rsidP="00D233B4">
            <w:pPr>
              <w:jc w:val="both"/>
              <w:rPr>
                <w:rFonts w:ascii="Times New Roman" w:hAnsi="Times New Roman" w:cs="Times New Roman"/>
                <w:sz w:val="25"/>
                <w:szCs w:val="25"/>
              </w:rPr>
            </w:pPr>
            <w:r w:rsidRPr="00DD4015">
              <w:rPr>
                <w:rFonts w:ascii="Times New Roman" w:hAnsi="Times New Roman" w:cs="Times New Roman"/>
                <w:sz w:val="25"/>
                <w:szCs w:val="25"/>
              </w:rPr>
              <w:t>Витрати</w:t>
            </w:r>
          </w:p>
        </w:tc>
      </w:tr>
      <w:tr w:rsidR="00B370CC" w:rsidRPr="00DD4015" w:rsidTr="00DD4015">
        <w:trPr>
          <w:trHeight w:val="810"/>
        </w:trPr>
        <w:tc>
          <w:tcPr>
            <w:tcW w:w="1985" w:type="dxa"/>
          </w:tcPr>
          <w:p w:rsidR="00B370CC" w:rsidRPr="00DD4015" w:rsidRDefault="00B370CC"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1</w:t>
            </w:r>
          </w:p>
        </w:tc>
        <w:tc>
          <w:tcPr>
            <w:tcW w:w="4278" w:type="dxa"/>
          </w:tcPr>
          <w:p w:rsidR="00B370CC" w:rsidRPr="00DD4015" w:rsidRDefault="00B370CC" w:rsidP="00D233B4">
            <w:pPr>
              <w:jc w:val="both"/>
              <w:rPr>
                <w:rFonts w:ascii="Times New Roman" w:hAnsi="Times New Roman" w:cs="Times New Roman"/>
                <w:sz w:val="25"/>
                <w:szCs w:val="25"/>
              </w:rPr>
            </w:pPr>
          </w:p>
        </w:tc>
        <w:tc>
          <w:tcPr>
            <w:tcW w:w="3150" w:type="dxa"/>
          </w:tcPr>
          <w:p w:rsidR="00B370CC" w:rsidRPr="00DD4015" w:rsidRDefault="00E26338" w:rsidP="00D233B4">
            <w:pPr>
              <w:jc w:val="both"/>
              <w:rPr>
                <w:rFonts w:ascii="Times New Roman" w:hAnsi="Times New Roman" w:cs="Times New Roman"/>
                <w:sz w:val="25"/>
                <w:szCs w:val="25"/>
              </w:rPr>
            </w:pPr>
            <w:r w:rsidRPr="00DD4015">
              <w:rPr>
                <w:rFonts w:ascii="Times New Roman" w:hAnsi="Times New Roman" w:cs="Times New Roman"/>
                <w:sz w:val="25"/>
                <w:szCs w:val="25"/>
              </w:rPr>
              <w:t>Не створення єдиних умов для діяльності всіх суб´єктів господарської діяльності у сфері зовнішньої реклами.</w:t>
            </w:r>
          </w:p>
        </w:tc>
      </w:tr>
      <w:tr w:rsidR="00B370CC" w:rsidRPr="00DD4015" w:rsidTr="00DD4015">
        <w:trPr>
          <w:trHeight w:val="840"/>
        </w:trPr>
        <w:tc>
          <w:tcPr>
            <w:tcW w:w="1985" w:type="dxa"/>
          </w:tcPr>
          <w:p w:rsidR="00B370CC" w:rsidRPr="00DD4015" w:rsidRDefault="00B370CC"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2</w:t>
            </w:r>
          </w:p>
        </w:tc>
        <w:tc>
          <w:tcPr>
            <w:tcW w:w="4278" w:type="dxa"/>
          </w:tcPr>
          <w:p w:rsidR="00B370CC" w:rsidRPr="00DD4015" w:rsidRDefault="00B370CC" w:rsidP="00D233B4">
            <w:pPr>
              <w:jc w:val="both"/>
              <w:rPr>
                <w:rFonts w:ascii="Times New Roman" w:hAnsi="Times New Roman" w:cs="Times New Roman"/>
                <w:sz w:val="25"/>
                <w:szCs w:val="25"/>
              </w:rPr>
            </w:pPr>
            <w:r w:rsidRPr="00DD4015">
              <w:rPr>
                <w:rFonts w:ascii="Times New Roman" w:hAnsi="Times New Roman" w:cs="Times New Roman"/>
                <w:sz w:val="25"/>
                <w:szCs w:val="25"/>
              </w:rPr>
              <w:t>Обраний спосіб є найбільш прийнятним, оскільки прийняття цього рішення надасть можливість досягн</w:t>
            </w:r>
            <w:r w:rsidR="00E26338" w:rsidRPr="00DD4015">
              <w:rPr>
                <w:rFonts w:ascii="Times New Roman" w:hAnsi="Times New Roman" w:cs="Times New Roman"/>
                <w:sz w:val="25"/>
                <w:szCs w:val="25"/>
              </w:rPr>
              <w:t>у</w:t>
            </w:r>
            <w:r w:rsidRPr="00DD4015">
              <w:rPr>
                <w:rFonts w:ascii="Times New Roman" w:hAnsi="Times New Roman" w:cs="Times New Roman"/>
                <w:sz w:val="25"/>
                <w:szCs w:val="25"/>
              </w:rPr>
              <w:t xml:space="preserve">ти </w:t>
            </w:r>
            <w:r w:rsidR="00E26338" w:rsidRPr="00DD4015">
              <w:rPr>
                <w:rFonts w:ascii="Times New Roman" w:hAnsi="Times New Roman" w:cs="Times New Roman"/>
                <w:sz w:val="25"/>
                <w:szCs w:val="25"/>
              </w:rPr>
              <w:t>цілей, передбачених розділом 2 цього Аналізу.</w:t>
            </w:r>
          </w:p>
        </w:tc>
        <w:tc>
          <w:tcPr>
            <w:tcW w:w="3150" w:type="dxa"/>
          </w:tcPr>
          <w:p w:rsidR="00B370CC" w:rsidRPr="00DD4015" w:rsidRDefault="00E26338" w:rsidP="00D233B4">
            <w:pPr>
              <w:jc w:val="both"/>
              <w:rPr>
                <w:rFonts w:ascii="Times New Roman" w:hAnsi="Times New Roman" w:cs="Times New Roman"/>
                <w:sz w:val="25"/>
                <w:szCs w:val="25"/>
              </w:rPr>
            </w:pPr>
            <w:r w:rsidRPr="00DD4015">
              <w:rPr>
                <w:rFonts w:ascii="Times New Roman" w:hAnsi="Times New Roman" w:cs="Times New Roman"/>
                <w:sz w:val="25"/>
                <w:szCs w:val="25"/>
              </w:rPr>
              <w:t>Відсутні</w:t>
            </w:r>
          </w:p>
        </w:tc>
      </w:tr>
    </w:tbl>
    <w:p w:rsidR="00E26338" w:rsidRPr="00DD4015" w:rsidRDefault="00E26338" w:rsidP="00D233B4">
      <w:pPr>
        <w:jc w:val="both"/>
        <w:rPr>
          <w:rFonts w:ascii="Times New Roman" w:hAnsi="Times New Roman" w:cs="Times New Roman"/>
          <w:sz w:val="25"/>
          <w:szCs w:val="25"/>
        </w:rPr>
      </w:pPr>
    </w:p>
    <w:p w:rsidR="00E26338" w:rsidRPr="00DD4015" w:rsidRDefault="00E26338" w:rsidP="00D233B4">
      <w:pPr>
        <w:ind w:left="360"/>
        <w:jc w:val="both"/>
        <w:rPr>
          <w:rFonts w:ascii="Times New Roman" w:hAnsi="Times New Roman" w:cs="Times New Roman"/>
          <w:sz w:val="25"/>
          <w:szCs w:val="25"/>
        </w:rPr>
      </w:pPr>
      <w:r w:rsidRPr="00DD4015">
        <w:rPr>
          <w:rFonts w:ascii="Times New Roman" w:hAnsi="Times New Roman" w:cs="Times New Roman"/>
          <w:sz w:val="25"/>
          <w:szCs w:val="25"/>
        </w:rPr>
        <w:t>Оцінка впливу на сферу інтересів громадян :</w:t>
      </w:r>
    </w:p>
    <w:tbl>
      <w:tblPr>
        <w:tblW w:w="96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3"/>
        <w:gridCol w:w="4335"/>
        <w:gridCol w:w="3570"/>
      </w:tblGrid>
      <w:tr w:rsidR="00E26338" w:rsidRPr="00DD4015" w:rsidTr="00DD4015">
        <w:trPr>
          <w:trHeight w:val="300"/>
        </w:trPr>
        <w:tc>
          <w:tcPr>
            <w:tcW w:w="1733" w:type="dxa"/>
          </w:tcPr>
          <w:p w:rsidR="00E26338" w:rsidRPr="00DD4015" w:rsidRDefault="00E26338" w:rsidP="00D233B4">
            <w:pPr>
              <w:jc w:val="both"/>
              <w:rPr>
                <w:rFonts w:ascii="Times New Roman" w:hAnsi="Times New Roman" w:cs="Times New Roman"/>
                <w:sz w:val="25"/>
                <w:szCs w:val="25"/>
              </w:rPr>
            </w:pPr>
            <w:r w:rsidRPr="00DD4015">
              <w:rPr>
                <w:rFonts w:ascii="Times New Roman" w:hAnsi="Times New Roman" w:cs="Times New Roman"/>
                <w:sz w:val="25"/>
                <w:szCs w:val="25"/>
              </w:rPr>
              <w:t>Вид альтернативи</w:t>
            </w:r>
          </w:p>
        </w:tc>
        <w:tc>
          <w:tcPr>
            <w:tcW w:w="4335" w:type="dxa"/>
          </w:tcPr>
          <w:p w:rsidR="00E26338" w:rsidRPr="00DD4015" w:rsidRDefault="00E26338" w:rsidP="00D233B4">
            <w:pPr>
              <w:jc w:val="both"/>
              <w:rPr>
                <w:rFonts w:ascii="Times New Roman" w:hAnsi="Times New Roman" w:cs="Times New Roman"/>
                <w:sz w:val="25"/>
                <w:szCs w:val="25"/>
              </w:rPr>
            </w:pPr>
            <w:r w:rsidRPr="00DD4015">
              <w:rPr>
                <w:rFonts w:ascii="Times New Roman" w:hAnsi="Times New Roman" w:cs="Times New Roman"/>
                <w:sz w:val="25"/>
                <w:szCs w:val="25"/>
              </w:rPr>
              <w:t>Вигода</w:t>
            </w:r>
          </w:p>
        </w:tc>
        <w:tc>
          <w:tcPr>
            <w:tcW w:w="3570" w:type="dxa"/>
          </w:tcPr>
          <w:p w:rsidR="00E26338" w:rsidRPr="00DD4015" w:rsidRDefault="00E26338" w:rsidP="00D233B4">
            <w:pPr>
              <w:jc w:val="both"/>
              <w:rPr>
                <w:rFonts w:ascii="Times New Roman" w:hAnsi="Times New Roman" w:cs="Times New Roman"/>
                <w:sz w:val="25"/>
                <w:szCs w:val="25"/>
              </w:rPr>
            </w:pPr>
            <w:r w:rsidRPr="00DD4015">
              <w:rPr>
                <w:rFonts w:ascii="Times New Roman" w:hAnsi="Times New Roman" w:cs="Times New Roman"/>
                <w:sz w:val="25"/>
                <w:szCs w:val="25"/>
              </w:rPr>
              <w:t>Витрати</w:t>
            </w:r>
          </w:p>
        </w:tc>
      </w:tr>
      <w:tr w:rsidR="00E26338" w:rsidRPr="00DD4015" w:rsidTr="00DD4015">
        <w:trPr>
          <w:trHeight w:val="300"/>
        </w:trPr>
        <w:tc>
          <w:tcPr>
            <w:tcW w:w="1733" w:type="dxa"/>
          </w:tcPr>
          <w:p w:rsidR="00E26338" w:rsidRPr="00DD4015" w:rsidRDefault="00E26338"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1</w:t>
            </w:r>
          </w:p>
        </w:tc>
        <w:tc>
          <w:tcPr>
            <w:tcW w:w="4335" w:type="dxa"/>
          </w:tcPr>
          <w:p w:rsidR="00E26338" w:rsidRPr="00DD4015" w:rsidRDefault="00E26338" w:rsidP="00D233B4">
            <w:pPr>
              <w:jc w:val="both"/>
              <w:rPr>
                <w:rFonts w:ascii="Times New Roman" w:hAnsi="Times New Roman" w:cs="Times New Roman"/>
                <w:sz w:val="25"/>
                <w:szCs w:val="25"/>
              </w:rPr>
            </w:pPr>
            <w:r w:rsidRPr="00DD4015">
              <w:rPr>
                <w:rFonts w:ascii="Times New Roman" w:hAnsi="Times New Roman" w:cs="Times New Roman"/>
                <w:sz w:val="25"/>
                <w:szCs w:val="25"/>
              </w:rPr>
              <w:t>Відсутні.</w:t>
            </w:r>
          </w:p>
        </w:tc>
        <w:tc>
          <w:tcPr>
            <w:tcW w:w="3570" w:type="dxa"/>
          </w:tcPr>
          <w:p w:rsidR="00E26338" w:rsidRPr="00DD4015" w:rsidRDefault="00E26338" w:rsidP="00D233B4">
            <w:pPr>
              <w:jc w:val="both"/>
              <w:rPr>
                <w:rFonts w:ascii="Times New Roman" w:hAnsi="Times New Roman" w:cs="Times New Roman"/>
                <w:sz w:val="25"/>
                <w:szCs w:val="25"/>
              </w:rPr>
            </w:pPr>
            <w:r w:rsidRPr="00DD4015">
              <w:rPr>
                <w:rFonts w:ascii="Times New Roman" w:hAnsi="Times New Roman" w:cs="Times New Roman"/>
                <w:sz w:val="25"/>
                <w:szCs w:val="25"/>
              </w:rPr>
              <w:t>Не створення єдиних умов для діяльності всіх суб´єктів  господарської діяльності у сфері зовнішньої реклами.</w:t>
            </w:r>
          </w:p>
        </w:tc>
      </w:tr>
      <w:tr w:rsidR="00E26338" w:rsidRPr="00DD4015" w:rsidTr="00DD4015">
        <w:trPr>
          <w:trHeight w:val="255"/>
        </w:trPr>
        <w:tc>
          <w:tcPr>
            <w:tcW w:w="1733" w:type="dxa"/>
          </w:tcPr>
          <w:p w:rsidR="00E26338" w:rsidRPr="00DD4015" w:rsidRDefault="00E26338"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2</w:t>
            </w:r>
          </w:p>
        </w:tc>
        <w:tc>
          <w:tcPr>
            <w:tcW w:w="4335" w:type="dxa"/>
          </w:tcPr>
          <w:p w:rsidR="00E26338" w:rsidRPr="00DD4015" w:rsidRDefault="00E26338" w:rsidP="00D233B4">
            <w:pPr>
              <w:jc w:val="both"/>
              <w:rPr>
                <w:rFonts w:ascii="Times New Roman" w:hAnsi="Times New Roman" w:cs="Times New Roman"/>
                <w:sz w:val="25"/>
                <w:szCs w:val="25"/>
              </w:rPr>
            </w:pPr>
            <w:r w:rsidRPr="00DD4015">
              <w:rPr>
                <w:rFonts w:ascii="Times New Roman" w:hAnsi="Times New Roman" w:cs="Times New Roman"/>
                <w:sz w:val="25"/>
                <w:szCs w:val="25"/>
              </w:rPr>
              <w:t>Обраний спосіб є найбільш прийнятним, оскільки прийняття цього рішення надасть можливість досягнути цілей</w:t>
            </w:r>
            <w:r w:rsidR="00A24A66" w:rsidRPr="00DD4015">
              <w:rPr>
                <w:rFonts w:ascii="Times New Roman" w:hAnsi="Times New Roman" w:cs="Times New Roman"/>
                <w:sz w:val="25"/>
                <w:szCs w:val="25"/>
              </w:rPr>
              <w:t>, передбачених розділом 2 цього Аналізу.</w:t>
            </w:r>
          </w:p>
        </w:tc>
        <w:tc>
          <w:tcPr>
            <w:tcW w:w="3570" w:type="dxa"/>
          </w:tcPr>
          <w:p w:rsidR="00E26338"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Відсутні.</w:t>
            </w:r>
          </w:p>
        </w:tc>
      </w:tr>
    </w:tbl>
    <w:p w:rsidR="00A24A66" w:rsidRPr="00DD4015" w:rsidRDefault="00A24A66" w:rsidP="00D233B4">
      <w:pPr>
        <w:ind w:left="360"/>
        <w:jc w:val="both"/>
        <w:rPr>
          <w:rFonts w:ascii="Times New Roman" w:hAnsi="Times New Roman" w:cs="Times New Roman"/>
          <w:sz w:val="25"/>
          <w:szCs w:val="25"/>
        </w:rPr>
      </w:pPr>
    </w:p>
    <w:p w:rsidR="00E26338" w:rsidRPr="00DD4015" w:rsidRDefault="00A24A66" w:rsidP="00D233B4">
      <w:pPr>
        <w:ind w:left="360"/>
        <w:jc w:val="both"/>
        <w:rPr>
          <w:rFonts w:ascii="Times New Roman" w:hAnsi="Times New Roman" w:cs="Times New Roman"/>
          <w:sz w:val="25"/>
          <w:szCs w:val="25"/>
        </w:rPr>
      </w:pPr>
      <w:r w:rsidRPr="00DD4015">
        <w:rPr>
          <w:rFonts w:ascii="Times New Roman" w:hAnsi="Times New Roman" w:cs="Times New Roman"/>
          <w:sz w:val="25"/>
          <w:szCs w:val="25"/>
        </w:rPr>
        <w:t>Оцінка впливу на сферу інтересів суб´єктів господарювання :</w:t>
      </w:r>
    </w:p>
    <w:tbl>
      <w:tblPr>
        <w:tblW w:w="9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3"/>
        <w:gridCol w:w="1545"/>
        <w:gridCol w:w="1455"/>
        <w:gridCol w:w="1500"/>
        <w:gridCol w:w="1290"/>
        <w:gridCol w:w="1320"/>
      </w:tblGrid>
      <w:tr w:rsidR="00A24A66" w:rsidRPr="00DD4015" w:rsidTr="00DD4015">
        <w:trPr>
          <w:trHeight w:val="375"/>
        </w:trPr>
        <w:tc>
          <w:tcPr>
            <w:tcW w:w="2663"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Показник</w:t>
            </w:r>
          </w:p>
        </w:tc>
        <w:tc>
          <w:tcPr>
            <w:tcW w:w="1545"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Великі</w:t>
            </w:r>
          </w:p>
        </w:tc>
        <w:tc>
          <w:tcPr>
            <w:tcW w:w="1455"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Середні</w:t>
            </w:r>
          </w:p>
        </w:tc>
        <w:tc>
          <w:tcPr>
            <w:tcW w:w="1500"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Малі </w:t>
            </w:r>
          </w:p>
        </w:tc>
        <w:tc>
          <w:tcPr>
            <w:tcW w:w="1290"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Мікро</w:t>
            </w:r>
          </w:p>
        </w:tc>
        <w:tc>
          <w:tcPr>
            <w:tcW w:w="1320"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Разом</w:t>
            </w:r>
          </w:p>
        </w:tc>
      </w:tr>
      <w:tr w:rsidR="00A24A66" w:rsidRPr="00DD4015" w:rsidTr="00DD4015">
        <w:trPr>
          <w:trHeight w:val="645"/>
        </w:trPr>
        <w:tc>
          <w:tcPr>
            <w:tcW w:w="2663"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Кількість суб´єктів господарювання, що підпадають під дію регулювання, одиниць </w:t>
            </w:r>
          </w:p>
        </w:tc>
        <w:tc>
          <w:tcPr>
            <w:tcW w:w="1545"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w:t>
            </w:r>
          </w:p>
        </w:tc>
        <w:tc>
          <w:tcPr>
            <w:tcW w:w="1455"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w:t>
            </w:r>
          </w:p>
        </w:tc>
        <w:tc>
          <w:tcPr>
            <w:tcW w:w="1500"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w:t>
            </w:r>
          </w:p>
        </w:tc>
        <w:tc>
          <w:tcPr>
            <w:tcW w:w="1290"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w:t>
            </w:r>
          </w:p>
        </w:tc>
        <w:tc>
          <w:tcPr>
            <w:tcW w:w="1320"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Х</w:t>
            </w:r>
          </w:p>
        </w:tc>
      </w:tr>
      <w:tr w:rsidR="00A24A66" w:rsidRPr="00DD4015" w:rsidTr="00DD4015">
        <w:trPr>
          <w:trHeight w:val="705"/>
        </w:trPr>
        <w:tc>
          <w:tcPr>
            <w:tcW w:w="2663"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Питома вага групи у загальній кількості, відсотків </w:t>
            </w:r>
          </w:p>
        </w:tc>
        <w:tc>
          <w:tcPr>
            <w:tcW w:w="1545"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w:t>
            </w:r>
          </w:p>
        </w:tc>
        <w:tc>
          <w:tcPr>
            <w:tcW w:w="1455"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w:t>
            </w:r>
          </w:p>
        </w:tc>
        <w:tc>
          <w:tcPr>
            <w:tcW w:w="1500"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w:t>
            </w:r>
          </w:p>
        </w:tc>
        <w:tc>
          <w:tcPr>
            <w:tcW w:w="1290"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w:t>
            </w:r>
          </w:p>
        </w:tc>
        <w:tc>
          <w:tcPr>
            <w:tcW w:w="1320" w:type="dxa"/>
          </w:tcPr>
          <w:p w:rsidR="00A24A66" w:rsidRPr="00DD4015" w:rsidRDefault="00A24A66" w:rsidP="00D233B4">
            <w:pPr>
              <w:jc w:val="both"/>
              <w:rPr>
                <w:rFonts w:ascii="Times New Roman" w:hAnsi="Times New Roman" w:cs="Times New Roman"/>
                <w:sz w:val="25"/>
                <w:szCs w:val="25"/>
              </w:rPr>
            </w:pPr>
            <w:r w:rsidRPr="00DD4015">
              <w:rPr>
                <w:rFonts w:ascii="Times New Roman" w:hAnsi="Times New Roman" w:cs="Times New Roman"/>
                <w:sz w:val="25"/>
                <w:szCs w:val="25"/>
              </w:rPr>
              <w:t>Х</w:t>
            </w:r>
          </w:p>
        </w:tc>
      </w:tr>
    </w:tbl>
    <w:p w:rsidR="00A24A66" w:rsidRPr="00DD4015" w:rsidRDefault="00A24A66" w:rsidP="00D233B4">
      <w:pPr>
        <w:ind w:left="360"/>
        <w:jc w:val="both"/>
        <w:rPr>
          <w:rFonts w:ascii="Times New Roman" w:hAnsi="Times New Roman" w:cs="Times New Roman"/>
          <w:sz w:val="25"/>
          <w:szCs w:val="25"/>
        </w:rPr>
      </w:pPr>
    </w:p>
    <w:tbl>
      <w:tblPr>
        <w:tblW w:w="98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4677"/>
        <w:gridCol w:w="3141"/>
      </w:tblGrid>
      <w:tr w:rsidR="000128B2" w:rsidRPr="00DD4015" w:rsidTr="00DD4015">
        <w:trPr>
          <w:trHeight w:val="480"/>
        </w:trPr>
        <w:tc>
          <w:tcPr>
            <w:tcW w:w="1985" w:type="dxa"/>
          </w:tcPr>
          <w:p w:rsidR="000128B2" w:rsidRPr="00DD4015" w:rsidRDefault="000128B2"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Вид альтернативи </w:t>
            </w:r>
          </w:p>
        </w:tc>
        <w:tc>
          <w:tcPr>
            <w:tcW w:w="4677" w:type="dxa"/>
          </w:tcPr>
          <w:p w:rsidR="000128B2" w:rsidRPr="00DD4015" w:rsidRDefault="000128B2" w:rsidP="00D233B4">
            <w:pPr>
              <w:jc w:val="both"/>
              <w:rPr>
                <w:rFonts w:ascii="Times New Roman" w:hAnsi="Times New Roman" w:cs="Times New Roman"/>
                <w:sz w:val="25"/>
                <w:szCs w:val="25"/>
              </w:rPr>
            </w:pPr>
            <w:r w:rsidRPr="00DD4015">
              <w:rPr>
                <w:rFonts w:ascii="Times New Roman" w:hAnsi="Times New Roman" w:cs="Times New Roman"/>
                <w:sz w:val="25"/>
                <w:szCs w:val="25"/>
              </w:rPr>
              <w:t>Вигоди</w:t>
            </w:r>
          </w:p>
        </w:tc>
        <w:tc>
          <w:tcPr>
            <w:tcW w:w="3141" w:type="dxa"/>
          </w:tcPr>
          <w:p w:rsidR="000128B2" w:rsidRPr="00DD4015" w:rsidRDefault="000128B2" w:rsidP="00D233B4">
            <w:pPr>
              <w:jc w:val="both"/>
              <w:rPr>
                <w:rFonts w:ascii="Times New Roman" w:hAnsi="Times New Roman" w:cs="Times New Roman"/>
                <w:sz w:val="25"/>
                <w:szCs w:val="25"/>
              </w:rPr>
            </w:pPr>
            <w:r w:rsidRPr="00DD4015">
              <w:rPr>
                <w:rFonts w:ascii="Times New Roman" w:hAnsi="Times New Roman" w:cs="Times New Roman"/>
                <w:sz w:val="25"/>
                <w:szCs w:val="25"/>
              </w:rPr>
              <w:t>Витрати</w:t>
            </w:r>
          </w:p>
        </w:tc>
      </w:tr>
      <w:tr w:rsidR="000128B2" w:rsidRPr="00DD4015" w:rsidTr="00DD4015">
        <w:trPr>
          <w:trHeight w:val="675"/>
        </w:trPr>
        <w:tc>
          <w:tcPr>
            <w:tcW w:w="1985" w:type="dxa"/>
          </w:tcPr>
          <w:p w:rsidR="000128B2" w:rsidRPr="00DD4015" w:rsidRDefault="000128B2"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1</w:t>
            </w:r>
          </w:p>
        </w:tc>
        <w:tc>
          <w:tcPr>
            <w:tcW w:w="4677" w:type="dxa"/>
          </w:tcPr>
          <w:p w:rsidR="000128B2" w:rsidRPr="00DD4015" w:rsidRDefault="000128B2" w:rsidP="00D233B4">
            <w:pPr>
              <w:jc w:val="both"/>
              <w:rPr>
                <w:rFonts w:ascii="Times New Roman" w:hAnsi="Times New Roman" w:cs="Times New Roman"/>
                <w:sz w:val="25"/>
                <w:szCs w:val="25"/>
              </w:rPr>
            </w:pPr>
            <w:r w:rsidRPr="00DD4015">
              <w:rPr>
                <w:rFonts w:ascii="Times New Roman" w:hAnsi="Times New Roman" w:cs="Times New Roman"/>
                <w:sz w:val="25"/>
                <w:szCs w:val="25"/>
              </w:rPr>
              <w:t>Відсутність Порядку розміщення  зовнішньої реклами в межах території населених пунктів Піщанської сільської ради, є прямим порушенням чинного законодавства та прав і інтересів суб´єктів господарювання. Вигода відсутня.</w:t>
            </w:r>
          </w:p>
        </w:tc>
        <w:tc>
          <w:tcPr>
            <w:tcW w:w="3141" w:type="dxa"/>
          </w:tcPr>
          <w:p w:rsidR="000128B2" w:rsidRPr="00DD4015" w:rsidRDefault="000128B2" w:rsidP="00D233B4">
            <w:pPr>
              <w:jc w:val="both"/>
              <w:rPr>
                <w:rFonts w:ascii="Times New Roman" w:hAnsi="Times New Roman" w:cs="Times New Roman"/>
                <w:sz w:val="25"/>
                <w:szCs w:val="25"/>
              </w:rPr>
            </w:pPr>
            <w:r w:rsidRPr="00DD4015">
              <w:rPr>
                <w:rFonts w:ascii="Times New Roman" w:hAnsi="Times New Roman" w:cs="Times New Roman"/>
                <w:sz w:val="25"/>
                <w:szCs w:val="25"/>
              </w:rPr>
              <w:t>Витрати відсутні. Ущемлення громадських та приватних інтересів.</w:t>
            </w:r>
          </w:p>
        </w:tc>
      </w:tr>
      <w:tr w:rsidR="000128B2" w:rsidRPr="00DD4015" w:rsidTr="00DD4015">
        <w:trPr>
          <w:trHeight w:val="780"/>
        </w:trPr>
        <w:tc>
          <w:tcPr>
            <w:tcW w:w="1985" w:type="dxa"/>
          </w:tcPr>
          <w:p w:rsidR="000128B2" w:rsidRPr="00DD4015" w:rsidRDefault="000128B2"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2</w:t>
            </w:r>
          </w:p>
        </w:tc>
        <w:tc>
          <w:tcPr>
            <w:tcW w:w="4677" w:type="dxa"/>
          </w:tcPr>
          <w:p w:rsidR="000128B2" w:rsidRPr="00DD4015" w:rsidRDefault="000128B2"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Прийняття запропонованого проекту рішення сесії Піщанської сільської ради </w:t>
            </w:r>
            <w:r w:rsidR="00B923AC" w:rsidRPr="00DD4015">
              <w:rPr>
                <w:rFonts w:ascii="Times New Roman" w:hAnsi="Times New Roman" w:cs="Times New Roman"/>
                <w:sz w:val="25"/>
                <w:szCs w:val="25"/>
              </w:rPr>
              <w:t>забезпечить виконання законодав</w:t>
            </w:r>
            <w:r w:rsidRPr="00DD4015">
              <w:rPr>
                <w:rFonts w:ascii="Times New Roman" w:hAnsi="Times New Roman" w:cs="Times New Roman"/>
                <w:sz w:val="25"/>
                <w:szCs w:val="25"/>
              </w:rPr>
              <w:t>с</w:t>
            </w:r>
            <w:r w:rsidR="00B923AC" w:rsidRPr="00DD4015">
              <w:rPr>
                <w:rFonts w:ascii="Times New Roman" w:hAnsi="Times New Roman" w:cs="Times New Roman"/>
                <w:sz w:val="25"/>
                <w:szCs w:val="25"/>
              </w:rPr>
              <w:t>т</w:t>
            </w:r>
            <w:r w:rsidRPr="00DD4015">
              <w:rPr>
                <w:rFonts w:ascii="Times New Roman" w:hAnsi="Times New Roman" w:cs="Times New Roman"/>
                <w:sz w:val="25"/>
                <w:szCs w:val="25"/>
              </w:rPr>
              <w:t xml:space="preserve">ва України та дотримання інтересів суб´єктів господарювання: спрощення процедури оформлення документів дозвільного характеру у сфері зовнішньої реклами та скорочення строків їх </w:t>
            </w:r>
            <w:r w:rsidRPr="00DD4015">
              <w:rPr>
                <w:rFonts w:ascii="Times New Roman" w:hAnsi="Times New Roman" w:cs="Times New Roman"/>
                <w:sz w:val="25"/>
                <w:szCs w:val="25"/>
              </w:rPr>
              <w:lastRenderedPageBreak/>
              <w:t>отримання.</w:t>
            </w:r>
          </w:p>
        </w:tc>
        <w:tc>
          <w:tcPr>
            <w:tcW w:w="3141" w:type="dxa"/>
          </w:tcPr>
          <w:p w:rsidR="000128B2" w:rsidRPr="00DD4015" w:rsidRDefault="000128B2" w:rsidP="00D233B4">
            <w:pPr>
              <w:jc w:val="both"/>
              <w:rPr>
                <w:rFonts w:ascii="Times New Roman" w:hAnsi="Times New Roman" w:cs="Times New Roman"/>
                <w:sz w:val="25"/>
                <w:szCs w:val="25"/>
              </w:rPr>
            </w:pPr>
            <w:r w:rsidRPr="00DD4015">
              <w:rPr>
                <w:rFonts w:ascii="Times New Roman" w:hAnsi="Times New Roman" w:cs="Times New Roman"/>
                <w:sz w:val="25"/>
                <w:szCs w:val="25"/>
              </w:rPr>
              <w:lastRenderedPageBreak/>
              <w:t>Реалізації проекту регуляторного акту не потребує додаткових витрат з державного та</w:t>
            </w:r>
            <w:r w:rsidRPr="00DD4015">
              <w:rPr>
                <w:rFonts w:ascii="Times New Roman" w:hAnsi="Times New Roman" w:cs="Times New Roman"/>
                <w:sz w:val="25"/>
                <w:szCs w:val="25"/>
                <w:lang w:val="ru-RU"/>
              </w:rPr>
              <w:t>/</w:t>
            </w:r>
            <w:r w:rsidRPr="00DD4015">
              <w:rPr>
                <w:rFonts w:ascii="Times New Roman" w:hAnsi="Times New Roman" w:cs="Times New Roman"/>
                <w:sz w:val="25"/>
                <w:szCs w:val="25"/>
              </w:rPr>
              <w:t>або місцевого бюджету.</w:t>
            </w:r>
          </w:p>
        </w:tc>
      </w:tr>
    </w:tbl>
    <w:p w:rsidR="00CE5DA7" w:rsidRPr="00DD4015" w:rsidRDefault="00CE5DA7" w:rsidP="00D233B4">
      <w:pPr>
        <w:ind w:left="360"/>
        <w:jc w:val="both"/>
        <w:rPr>
          <w:rFonts w:ascii="Times New Roman" w:hAnsi="Times New Roman" w:cs="Times New Roman"/>
          <w:sz w:val="25"/>
          <w:szCs w:val="25"/>
        </w:rPr>
      </w:pPr>
      <w:r w:rsidRPr="00DD4015">
        <w:rPr>
          <w:rFonts w:ascii="Times New Roman" w:hAnsi="Times New Roman" w:cs="Times New Roman"/>
          <w:sz w:val="25"/>
          <w:szCs w:val="25"/>
        </w:rPr>
        <w:lastRenderedPageBreak/>
        <w:t>Проект регуляторного акту не має впливу на сферу інтересів суб´єктів господарювання великого і середнього підприємництва .</w:t>
      </w:r>
    </w:p>
    <w:p w:rsidR="00CE5DA7" w:rsidRPr="00DD4015" w:rsidRDefault="00CE5DA7" w:rsidP="00D233B4">
      <w:pPr>
        <w:ind w:left="360"/>
        <w:jc w:val="center"/>
        <w:rPr>
          <w:rFonts w:ascii="Times New Roman" w:hAnsi="Times New Roman" w:cs="Times New Roman"/>
          <w:b/>
          <w:bCs/>
          <w:sz w:val="25"/>
          <w:szCs w:val="25"/>
        </w:rPr>
      </w:pPr>
      <w:r w:rsidRPr="00DD4015">
        <w:rPr>
          <w:rFonts w:ascii="Times New Roman" w:hAnsi="Times New Roman" w:cs="Times New Roman"/>
          <w:b/>
          <w:bCs/>
          <w:sz w:val="25"/>
          <w:szCs w:val="25"/>
        </w:rPr>
        <w:t>4.Вибір найбільш оптимального альтернативного способу досягнення цілей.</w:t>
      </w:r>
    </w:p>
    <w:p w:rsidR="00CE5DA7" w:rsidRPr="00DD4015" w:rsidRDefault="00CE5DA7" w:rsidP="00D233B4">
      <w:pPr>
        <w:ind w:left="360"/>
        <w:jc w:val="both"/>
        <w:rPr>
          <w:rFonts w:ascii="Times New Roman" w:hAnsi="Times New Roman" w:cs="Times New Roman"/>
          <w:sz w:val="25"/>
          <w:szCs w:val="25"/>
        </w:rPr>
      </w:pPr>
      <w:r w:rsidRPr="00DD4015">
        <w:rPr>
          <w:rFonts w:ascii="Times New Roman" w:hAnsi="Times New Roman" w:cs="Times New Roman"/>
          <w:sz w:val="25"/>
          <w:szCs w:val="25"/>
        </w:rPr>
        <w:t>Вартість балів визначається за чотирибальною системою оцінки ступеня досягнення визначених цілей, де:</w:t>
      </w:r>
    </w:p>
    <w:p w:rsidR="00CE5DA7" w:rsidRPr="00DD4015" w:rsidRDefault="00CE5DA7" w:rsidP="00D233B4">
      <w:pPr>
        <w:ind w:left="360"/>
        <w:jc w:val="both"/>
        <w:rPr>
          <w:rFonts w:ascii="Times New Roman" w:hAnsi="Times New Roman" w:cs="Times New Roman"/>
          <w:sz w:val="25"/>
          <w:szCs w:val="25"/>
        </w:rPr>
      </w:pPr>
      <w:r w:rsidRPr="00DD4015">
        <w:rPr>
          <w:rFonts w:ascii="Times New Roman" w:hAnsi="Times New Roman" w:cs="Times New Roman"/>
          <w:sz w:val="25"/>
          <w:szCs w:val="25"/>
        </w:rPr>
        <w:t>4 – цілі прийняття регуляторного акту, які можуть бути досягнуті повною мірою(проблема більш існувати не буде);</w:t>
      </w:r>
    </w:p>
    <w:p w:rsidR="00CE5DA7" w:rsidRPr="00DD4015" w:rsidRDefault="00CE5DA7" w:rsidP="00D233B4">
      <w:pPr>
        <w:ind w:left="360"/>
        <w:jc w:val="both"/>
        <w:rPr>
          <w:rFonts w:ascii="Times New Roman" w:hAnsi="Times New Roman" w:cs="Times New Roman"/>
          <w:sz w:val="25"/>
          <w:szCs w:val="25"/>
        </w:rPr>
      </w:pPr>
      <w:r w:rsidRPr="00DD4015">
        <w:rPr>
          <w:rFonts w:ascii="Times New Roman" w:hAnsi="Times New Roman" w:cs="Times New Roman"/>
          <w:sz w:val="25"/>
          <w:szCs w:val="25"/>
        </w:rPr>
        <w:t>3 – цілі прийняття регуляторного акту, які можуть бути досягнуті майже повною мірою (усі важливі аспекти проблеми існувати не будуть );</w:t>
      </w:r>
    </w:p>
    <w:p w:rsidR="00CE5DA7" w:rsidRPr="00DD4015" w:rsidRDefault="00CE5DA7" w:rsidP="00D233B4">
      <w:pPr>
        <w:ind w:left="360"/>
        <w:jc w:val="both"/>
        <w:rPr>
          <w:rFonts w:ascii="Times New Roman" w:hAnsi="Times New Roman" w:cs="Times New Roman"/>
          <w:sz w:val="25"/>
          <w:szCs w:val="25"/>
        </w:rPr>
      </w:pPr>
      <w:r w:rsidRPr="00DD4015">
        <w:rPr>
          <w:rFonts w:ascii="Times New Roman" w:hAnsi="Times New Roman" w:cs="Times New Roman"/>
          <w:sz w:val="25"/>
          <w:szCs w:val="25"/>
        </w:rPr>
        <w:t xml:space="preserve">2 </w:t>
      </w:r>
      <w:r w:rsidR="00265869" w:rsidRPr="00DD4015">
        <w:rPr>
          <w:rFonts w:ascii="Times New Roman" w:hAnsi="Times New Roman" w:cs="Times New Roman"/>
          <w:sz w:val="25"/>
          <w:szCs w:val="25"/>
        </w:rPr>
        <w:t>–</w:t>
      </w:r>
      <w:r w:rsidRPr="00DD4015">
        <w:rPr>
          <w:rFonts w:ascii="Times New Roman" w:hAnsi="Times New Roman" w:cs="Times New Roman"/>
          <w:sz w:val="25"/>
          <w:szCs w:val="25"/>
        </w:rPr>
        <w:t xml:space="preserve"> </w:t>
      </w:r>
      <w:r w:rsidR="00265869" w:rsidRPr="00DD4015">
        <w:rPr>
          <w:rFonts w:ascii="Times New Roman" w:hAnsi="Times New Roman" w:cs="Times New Roman"/>
          <w:sz w:val="25"/>
          <w:szCs w:val="25"/>
        </w:rPr>
        <w:t>цілі прийняття регуляторного акту, які можуть бути досягнуті частково (проблема значно зменшиться, деякі важливі та критичні аспекти проблеми залишаться невирішеними);</w:t>
      </w:r>
    </w:p>
    <w:p w:rsidR="00265869" w:rsidRPr="00DD4015" w:rsidRDefault="00265869" w:rsidP="00D233B4">
      <w:pPr>
        <w:ind w:left="360"/>
        <w:jc w:val="both"/>
        <w:rPr>
          <w:rFonts w:ascii="Times New Roman" w:hAnsi="Times New Roman" w:cs="Times New Roman"/>
          <w:sz w:val="25"/>
          <w:szCs w:val="25"/>
        </w:rPr>
      </w:pPr>
      <w:r w:rsidRPr="00DD4015">
        <w:rPr>
          <w:rFonts w:ascii="Times New Roman" w:hAnsi="Times New Roman" w:cs="Times New Roman"/>
          <w:sz w:val="25"/>
          <w:szCs w:val="25"/>
        </w:rPr>
        <w:t>1 – цілі прийняття регуляторного акту, які не можуть бути досягнуті (проблема продовжує існувати ).</w:t>
      </w:r>
    </w:p>
    <w:tbl>
      <w:tblPr>
        <w:tblW w:w="94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5"/>
        <w:gridCol w:w="2115"/>
        <w:gridCol w:w="5283"/>
      </w:tblGrid>
      <w:tr w:rsidR="00265869" w:rsidRPr="00DD4015" w:rsidTr="00DD4015">
        <w:trPr>
          <w:trHeight w:val="450"/>
        </w:trPr>
        <w:tc>
          <w:tcPr>
            <w:tcW w:w="1946" w:type="dxa"/>
          </w:tcPr>
          <w:p w:rsidR="00265869" w:rsidRPr="00DD4015" w:rsidRDefault="00265869" w:rsidP="00D233B4">
            <w:pPr>
              <w:jc w:val="both"/>
              <w:rPr>
                <w:rFonts w:ascii="Times New Roman" w:hAnsi="Times New Roman" w:cs="Times New Roman"/>
                <w:sz w:val="25"/>
                <w:szCs w:val="25"/>
              </w:rPr>
            </w:pPr>
            <w:r w:rsidRPr="00DD4015">
              <w:rPr>
                <w:rFonts w:ascii="Times New Roman" w:hAnsi="Times New Roman" w:cs="Times New Roman"/>
                <w:sz w:val="25"/>
                <w:szCs w:val="25"/>
              </w:rPr>
              <w:t>Рейтинг результативності (досягнення цілей під час вирішення проблеми)</w:t>
            </w:r>
          </w:p>
        </w:tc>
        <w:tc>
          <w:tcPr>
            <w:tcW w:w="2118" w:type="dxa"/>
          </w:tcPr>
          <w:p w:rsidR="00265869" w:rsidRPr="00DD4015" w:rsidRDefault="00265869" w:rsidP="00D233B4">
            <w:pPr>
              <w:jc w:val="both"/>
              <w:rPr>
                <w:rFonts w:ascii="Times New Roman" w:hAnsi="Times New Roman" w:cs="Times New Roman"/>
                <w:sz w:val="25"/>
                <w:szCs w:val="25"/>
              </w:rPr>
            </w:pPr>
            <w:r w:rsidRPr="00DD4015">
              <w:rPr>
                <w:rFonts w:ascii="Times New Roman" w:hAnsi="Times New Roman" w:cs="Times New Roman"/>
                <w:sz w:val="25"/>
                <w:szCs w:val="25"/>
              </w:rPr>
              <w:t>Бал результативності (за чотирибальною системою оцінки)</w:t>
            </w:r>
          </w:p>
        </w:tc>
        <w:tc>
          <w:tcPr>
            <w:tcW w:w="5379" w:type="dxa"/>
          </w:tcPr>
          <w:p w:rsidR="00265869" w:rsidRPr="00DD4015" w:rsidRDefault="00265869" w:rsidP="00D233B4">
            <w:pPr>
              <w:jc w:val="both"/>
              <w:rPr>
                <w:rFonts w:ascii="Times New Roman" w:hAnsi="Times New Roman" w:cs="Times New Roman"/>
                <w:sz w:val="25"/>
                <w:szCs w:val="25"/>
              </w:rPr>
            </w:pPr>
            <w:r w:rsidRPr="00DD4015">
              <w:rPr>
                <w:rFonts w:ascii="Times New Roman" w:hAnsi="Times New Roman" w:cs="Times New Roman"/>
                <w:sz w:val="25"/>
                <w:szCs w:val="25"/>
              </w:rPr>
              <w:t>Коментарі щодо присвоєння відповідного бала</w:t>
            </w:r>
          </w:p>
        </w:tc>
      </w:tr>
      <w:tr w:rsidR="00265869" w:rsidRPr="00DD4015" w:rsidTr="00DD4015">
        <w:trPr>
          <w:trHeight w:val="765"/>
        </w:trPr>
        <w:tc>
          <w:tcPr>
            <w:tcW w:w="1946" w:type="dxa"/>
          </w:tcPr>
          <w:p w:rsidR="00265869" w:rsidRPr="00DD4015" w:rsidRDefault="00265869"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1</w:t>
            </w:r>
          </w:p>
        </w:tc>
        <w:tc>
          <w:tcPr>
            <w:tcW w:w="2118" w:type="dxa"/>
          </w:tcPr>
          <w:p w:rsidR="00265869" w:rsidRPr="00DD4015" w:rsidRDefault="00265869" w:rsidP="00D233B4">
            <w:pPr>
              <w:jc w:val="both"/>
              <w:rPr>
                <w:rFonts w:ascii="Times New Roman" w:hAnsi="Times New Roman" w:cs="Times New Roman"/>
                <w:sz w:val="25"/>
                <w:szCs w:val="25"/>
              </w:rPr>
            </w:pPr>
            <w:r w:rsidRPr="00DD4015">
              <w:rPr>
                <w:rFonts w:ascii="Times New Roman" w:hAnsi="Times New Roman" w:cs="Times New Roman"/>
                <w:sz w:val="25"/>
                <w:szCs w:val="25"/>
              </w:rPr>
              <w:t>1</w:t>
            </w:r>
          </w:p>
        </w:tc>
        <w:tc>
          <w:tcPr>
            <w:tcW w:w="5379" w:type="dxa"/>
          </w:tcPr>
          <w:p w:rsidR="00265869" w:rsidRPr="00DD4015" w:rsidRDefault="00265869" w:rsidP="00D233B4">
            <w:pPr>
              <w:jc w:val="both"/>
              <w:rPr>
                <w:rFonts w:ascii="Times New Roman" w:hAnsi="Times New Roman" w:cs="Times New Roman"/>
                <w:sz w:val="25"/>
                <w:szCs w:val="25"/>
              </w:rPr>
            </w:pPr>
            <w:r w:rsidRPr="00DD4015">
              <w:rPr>
                <w:rFonts w:ascii="Times New Roman" w:hAnsi="Times New Roman" w:cs="Times New Roman"/>
                <w:sz w:val="25"/>
                <w:szCs w:val="25"/>
              </w:rPr>
              <w:t>Цілі прийняття регуляторного акту не можуть бути досягнуті, проб</w:t>
            </w:r>
            <w:r w:rsidR="0036009D" w:rsidRPr="00DD4015">
              <w:rPr>
                <w:rFonts w:ascii="Times New Roman" w:hAnsi="Times New Roman" w:cs="Times New Roman"/>
                <w:sz w:val="25"/>
                <w:szCs w:val="25"/>
              </w:rPr>
              <w:t>лема існуватиме.</w:t>
            </w:r>
          </w:p>
        </w:tc>
      </w:tr>
      <w:tr w:rsidR="00265869" w:rsidRPr="00DD4015" w:rsidTr="00DD4015">
        <w:trPr>
          <w:trHeight w:val="690"/>
        </w:trPr>
        <w:tc>
          <w:tcPr>
            <w:tcW w:w="1946" w:type="dxa"/>
          </w:tcPr>
          <w:p w:rsidR="00265869" w:rsidRPr="00DD4015" w:rsidRDefault="00265869"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2</w:t>
            </w:r>
          </w:p>
        </w:tc>
        <w:tc>
          <w:tcPr>
            <w:tcW w:w="2118" w:type="dxa"/>
          </w:tcPr>
          <w:p w:rsidR="00265869" w:rsidRPr="00DD4015" w:rsidRDefault="00265869" w:rsidP="00D233B4">
            <w:pPr>
              <w:jc w:val="both"/>
              <w:rPr>
                <w:rFonts w:ascii="Times New Roman" w:hAnsi="Times New Roman" w:cs="Times New Roman"/>
                <w:sz w:val="25"/>
                <w:szCs w:val="25"/>
              </w:rPr>
            </w:pPr>
            <w:r w:rsidRPr="00DD4015">
              <w:rPr>
                <w:rFonts w:ascii="Times New Roman" w:hAnsi="Times New Roman" w:cs="Times New Roman"/>
                <w:sz w:val="25"/>
                <w:szCs w:val="25"/>
              </w:rPr>
              <w:t>4</w:t>
            </w:r>
          </w:p>
        </w:tc>
        <w:tc>
          <w:tcPr>
            <w:tcW w:w="5379" w:type="dxa"/>
          </w:tcPr>
          <w:p w:rsidR="00265869" w:rsidRPr="00DD4015" w:rsidRDefault="0036009D" w:rsidP="00D233B4">
            <w:pPr>
              <w:jc w:val="both"/>
              <w:rPr>
                <w:rFonts w:ascii="Times New Roman" w:hAnsi="Times New Roman" w:cs="Times New Roman"/>
                <w:sz w:val="25"/>
                <w:szCs w:val="25"/>
              </w:rPr>
            </w:pPr>
            <w:r w:rsidRPr="00DD4015">
              <w:rPr>
                <w:rFonts w:ascii="Times New Roman" w:hAnsi="Times New Roman" w:cs="Times New Roman"/>
                <w:sz w:val="25"/>
                <w:szCs w:val="25"/>
              </w:rPr>
              <w:t>Цілі прийняття регуляторного акту можуть бути досягнуті повною мірою (проблема більше існувати не буде), прийняття регуляторного акту надасть можливість :</w:t>
            </w:r>
          </w:p>
          <w:p w:rsidR="0036009D" w:rsidRPr="00DD4015" w:rsidRDefault="0036009D"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Забезпечення дотримання вимог чинного законодавства у сфері розміщення зовнішньої реклами;</w:t>
            </w:r>
          </w:p>
          <w:p w:rsidR="0036009D" w:rsidRPr="00DD4015" w:rsidRDefault="0036009D"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Впорядкування розміщення об´єктів зовнішньої реклами;</w:t>
            </w:r>
          </w:p>
          <w:p w:rsidR="0036009D" w:rsidRPr="00DD4015" w:rsidRDefault="0036009D"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Створення єдиного естетичного середовища;</w:t>
            </w:r>
          </w:p>
          <w:p w:rsidR="0036009D" w:rsidRPr="00DD4015" w:rsidRDefault="0036009D"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Створення єдиних умов для діяльності всі суб´єктів господарської діяльності у сфері зовнішньої реклами.</w:t>
            </w:r>
          </w:p>
        </w:tc>
      </w:tr>
    </w:tbl>
    <w:p w:rsidR="00265869" w:rsidRPr="00DD4015" w:rsidRDefault="00265869" w:rsidP="00D233B4">
      <w:pPr>
        <w:ind w:left="360"/>
        <w:jc w:val="both"/>
        <w:rPr>
          <w:rFonts w:ascii="Times New Roman" w:hAnsi="Times New Roman" w:cs="Times New Roman"/>
          <w:sz w:val="25"/>
          <w:szCs w:val="25"/>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215"/>
        <w:gridCol w:w="2709"/>
        <w:gridCol w:w="1166"/>
        <w:gridCol w:w="234"/>
        <w:gridCol w:w="3089"/>
      </w:tblGrid>
      <w:tr w:rsidR="002235C9" w:rsidRPr="00DD4015" w:rsidTr="00DD4015">
        <w:trPr>
          <w:trHeight w:val="495"/>
        </w:trPr>
        <w:tc>
          <w:tcPr>
            <w:tcW w:w="2200" w:type="dxa"/>
            <w:gridSpan w:val="2"/>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Рейтинг результативності </w:t>
            </w:r>
          </w:p>
        </w:tc>
        <w:tc>
          <w:tcPr>
            <w:tcW w:w="2709" w:type="dxa"/>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t>Вигоди (підсумок)</w:t>
            </w:r>
          </w:p>
        </w:tc>
        <w:tc>
          <w:tcPr>
            <w:tcW w:w="1400" w:type="dxa"/>
            <w:gridSpan w:val="2"/>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t>Витрати (підсумок)</w:t>
            </w:r>
          </w:p>
        </w:tc>
        <w:tc>
          <w:tcPr>
            <w:tcW w:w="3089" w:type="dxa"/>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Обґрунтування відповідного місця </w:t>
            </w:r>
            <w:r w:rsidRPr="00DD4015">
              <w:rPr>
                <w:rFonts w:ascii="Times New Roman" w:hAnsi="Times New Roman" w:cs="Times New Roman"/>
                <w:sz w:val="25"/>
                <w:szCs w:val="25"/>
              </w:rPr>
              <w:lastRenderedPageBreak/>
              <w:t xml:space="preserve">альтернативи у рейтингу </w:t>
            </w:r>
          </w:p>
        </w:tc>
      </w:tr>
      <w:tr w:rsidR="002235C9" w:rsidRPr="00DD4015" w:rsidTr="00DD4015">
        <w:trPr>
          <w:trHeight w:val="465"/>
        </w:trPr>
        <w:tc>
          <w:tcPr>
            <w:tcW w:w="2200" w:type="dxa"/>
            <w:gridSpan w:val="2"/>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lastRenderedPageBreak/>
              <w:t>Альтернатива 1</w:t>
            </w:r>
          </w:p>
        </w:tc>
        <w:tc>
          <w:tcPr>
            <w:tcW w:w="2709" w:type="dxa"/>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                      -</w:t>
            </w:r>
          </w:p>
        </w:tc>
        <w:tc>
          <w:tcPr>
            <w:tcW w:w="1400" w:type="dxa"/>
            <w:gridSpan w:val="2"/>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         -</w:t>
            </w:r>
          </w:p>
        </w:tc>
        <w:tc>
          <w:tcPr>
            <w:tcW w:w="3089" w:type="dxa"/>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1 не вирішує поставлених цілей</w:t>
            </w:r>
          </w:p>
        </w:tc>
      </w:tr>
      <w:tr w:rsidR="002235C9" w:rsidRPr="00DD4015" w:rsidTr="00DD4015">
        <w:trPr>
          <w:trHeight w:val="465"/>
        </w:trPr>
        <w:tc>
          <w:tcPr>
            <w:tcW w:w="2200" w:type="dxa"/>
            <w:gridSpan w:val="2"/>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2</w:t>
            </w:r>
          </w:p>
        </w:tc>
        <w:tc>
          <w:tcPr>
            <w:tcW w:w="2709" w:type="dxa"/>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t>Введення в дію запропонованого регуляторного акту позитивно вплине на покращення іміджу влади. Також спростить процедуру  одержання дозвільних документів у сфері розміщення зовнішньої реклами для суб´єктів господарювання.</w:t>
            </w:r>
          </w:p>
        </w:tc>
        <w:tc>
          <w:tcPr>
            <w:tcW w:w="1400" w:type="dxa"/>
            <w:gridSpan w:val="2"/>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t>Додаткові витрати відсутні</w:t>
            </w:r>
          </w:p>
        </w:tc>
        <w:tc>
          <w:tcPr>
            <w:tcW w:w="3089" w:type="dxa"/>
          </w:tcPr>
          <w:p w:rsidR="002235C9" w:rsidRPr="00DD4015" w:rsidRDefault="002235C9" w:rsidP="00D233B4">
            <w:pPr>
              <w:jc w:val="both"/>
              <w:rPr>
                <w:rFonts w:ascii="Times New Roman" w:hAnsi="Times New Roman" w:cs="Times New Roman"/>
                <w:sz w:val="25"/>
                <w:szCs w:val="25"/>
              </w:rPr>
            </w:pPr>
            <w:r w:rsidRPr="00DD4015">
              <w:rPr>
                <w:rFonts w:ascii="Times New Roman" w:hAnsi="Times New Roman" w:cs="Times New Roman"/>
                <w:sz w:val="25"/>
                <w:szCs w:val="25"/>
              </w:rPr>
              <w:t>Прийняття даного регуляторного акту надасть можливість користуватися врегульованим, єдиним, зрозумілим для всіх та прозорим механізмом у сфері розміщення зовнішньої реклами.</w:t>
            </w:r>
          </w:p>
        </w:tc>
      </w:tr>
      <w:tr w:rsidR="006B0690" w:rsidRPr="00DD4015" w:rsidTr="00DD4015">
        <w:trPr>
          <w:trHeight w:val="555"/>
        </w:trPr>
        <w:tc>
          <w:tcPr>
            <w:tcW w:w="1985" w:type="dxa"/>
          </w:tcPr>
          <w:p w:rsidR="006B0690" w:rsidRPr="00DD4015" w:rsidRDefault="006B0690" w:rsidP="00D233B4">
            <w:pPr>
              <w:jc w:val="both"/>
              <w:rPr>
                <w:rFonts w:ascii="Times New Roman" w:hAnsi="Times New Roman" w:cs="Times New Roman"/>
                <w:sz w:val="25"/>
                <w:szCs w:val="25"/>
              </w:rPr>
            </w:pPr>
            <w:r w:rsidRPr="00DD4015">
              <w:rPr>
                <w:rFonts w:ascii="Times New Roman" w:hAnsi="Times New Roman" w:cs="Times New Roman"/>
                <w:sz w:val="25"/>
                <w:szCs w:val="25"/>
              </w:rPr>
              <w:t>Рейтинг</w:t>
            </w:r>
          </w:p>
        </w:tc>
        <w:tc>
          <w:tcPr>
            <w:tcW w:w="4090" w:type="dxa"/>
            <w:gridSpan w:val="3"/>
          </w:tcPr>
          <w:p w:rsidR="006B0690" w:rsidRPr="00DD4015" w:rsidRDefault="006B0690" w:rsidP="00D233B4">
            <w:pPr>
              <w:jc w:val="both"/>
              <w:rPr>
                <w:rFonts w:ascii="Times New Roman" w:hAnsi="Times New Roman" w:cs="Times New Roman"/>
                <w:sz w:val="25"/>
                <w:szCs w:val="25"/>
              </w:rPr>
            </w:pPr>
            <w:r w:rsidRPr="00DD4015">
              <w:rPr>
                <w:rFonts w:ascii="Times New Roman" w:hAnsi="Times New Roman" w:cs="Times New Roman"/>
                <w:sz w:val="25"/>
                <w:szCs w:val="25"/>
              </w:rPr>
              <w:t>Аргументи щодо переваги обраної альтернативи</w:t>
            </w:r>
            <w:r w:rsidRPr="00DD4015">
              <w:rPr>
                <w:rFonts w:ascii="Times New Roman" w:hAnsi="Times New Roman" w:cs="Times New Roman"/>
                <w:sz w:val="25"/>
                <w:szCs w:val="25"/>
                <w:lang w:val="ru-RU"/>
              </w:rPr>
              <w:t>/</w:t>
            </w:r>
            <w:r w:rsidRPr="00DD4015">
              <w:rPr>
                <w:rFonts w:ascii="Times New Roman" w:hAnsi="Times New Roman" w:cs="Times New Roman"/>
                <w:sz w:val="25"/>
                <w:szCs w:val="25"/>
              </w:rPr>
              <w:t xml:space="preserve">причини відмови від альтернативи </w:t>
            </w:r>
          </w:p>
        </w:tc>
        <w:tc>
          <w:tcPr>
            <w:tcW w:w="3323" w:type="dxa"/>
            <w:gridSpan w:val="2"/>
          </w:tcPr>
          <w:p w:rsidR="006B0690" w:rsidRPr="00DD4015" w:rsidRDefault="006B0690"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Оцінка ризику зовнішніх чинників на дію запропонованого регуляторного акту </w:t>
            </w:r>
          </w:p>
        </w:tc>
      </w:tr>
      <w:tr w:rsidR="006B0690" w:rsidRPr="00DD4015" w:rsidTr="00DD4015">
        <w:trPr>
          <w:trHeight w:val="630"/>
        </w:trPr>
        <w:tc>
          <w:tcPr>
            <w:tcW w:w="1985" w:type="dxa"/>
          </w:tcPr>
          <w:p w:rsidR="006B0690" w:rsidRPr="00DD4015" w:rsidRDefault="006B0690"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1</w:t>
            </w:r>
          </w:p>
        </w:tc>
        <w:tc>
          <w:tcPr>
            <w:tcW w:w="4090" w:type="dxa"/>
            <w:gridSpan w:val="3"/>
          </w:tcPr>
          <w:p w:rsidR="006B0690" w:rsidRPr="00DD4015" w:rsidRDefault="006B0690"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Залишення ситуації, що склалась, без змін, не забезпечить досягнення поставлених цілей. Отже, така альтернатива є неприйнятною. </w:t>
            </w:r>
          </w:p>
        </w:tc>
        <w:tc>
          <w:tcPr>
            <w:tcW w:w="3323" w:type="dxa"/>
            <w:gridSpan w:val="2"/>
          </w:tcPr>
          <w:p w:rsidR="006B0690" w:rsidRPr="00DD4015" w:rsidRDefault="006B0690"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                   -</w:t>
            </w:r>
          </w:p>
        </w:tc>
      </w:tr>
      <w:tr w:rsidR="006B0690" w:rsidRPr="00DD4015" w:rsidTr="00DD4015">
        <w:trPr>
          <w:trHeight w:val="495"/>
        </w:trPr>
        <w:tc>
          <w:tcPr>
            <w:tcW w:w="1985" w:type="dxa"/>
          </w:tcPr>
          <w:p w:rsidR="006B0690" w:rsidRPr="00DD4015" w:rsidRDefault="006B0690" w:rsidP="00D233B4">
            <w:pPr>
              <w:jc w:val="both"/>
              <w:rPr>
                <w:rFonts w:ascii="Times New Roman" w:hAnsi="Times New Roman" w:cs="Times New Roman"/>
                <w:sz w:val="25"/>
                <w:szCs w:val="25"/>
              </w:rPr>
            </w:pPr>
            <w:r w:rsidRPr="00DD4015">
              <w:rPr>
                <w:rFonts w:ascii="Times New Roman" w:hAnsi="Times New Roman" w:cs="Times New Roman"/>
                <w:sz w:val="25"/>
                <w:szCs w:val="25"/>
              </w:rPr>
              <w:t>Альтернатива 2</w:t>
            </w:r>
          </w:p>
        </w:tc>
        <w:tc>
          <w:tcPr>
            <w:tcW w:w="4090" w:type="dxa"/>
            <w:gridSpan w:val="3"/>
          </w:tcPr>
          <w:p w:rsidR="006B0690" w:rsidRPr="00DD4015" w:rsidRDefault="006B0690" w:rsidP="00D233B4">
            <w:pPr>
              <w:jc w:val="both"/>
              <w:rPr>
                <w:rFonts w:ascii="Times New Roman" w:hAnsi="Times New Roman" w:cs="Times New Roman"/>
                <w:sz w:val="25"/>
                <w:szCs w:val="25"/>
              </w:rPr>
            </w:pPr>
            <w:r w:rsidRPr="00DD4015">
              <w:rPr>
                <w:rFonts w:ascii="Times New Roman" w:hAnsi="Times New Roman" w:cs="Times New Roman"/>
                <w:sz w:val="25"/>
                <w:szCs w:val="25"/>
              </w:rPr>
              <w:t>Прийняття цього регуляторного акту забезпечить врегулювання порушеного питання з дотриманням вимог чинного законодавства України; причини для відмови відсутні. Обрана альтернатива є найбільш раціональним варіантом врахування всіх основних груп, на яких проблема справляє вплив.</w:t>
            </w:r>
          </w:p>
        </w:tc>
        <w:tc>
          <w:tcPr>
            <w:tcW w:w="3323" w:type="dxa"/>
            <w:gridSpan w:val="2"/>
          </w:tcPr>
          <w:p w:rsidR="006B0690" w:rsidRPr="00DD4015" w:rsidRDefault="006B0690" w:rsidP="00D233B4">
            <w:pPr>
              <w:jc w:val="both"/>
              <w:rPr>
                <w:rFonts w:ascii="Times New Roman" w:hAnsi="Times New Roman" w:cs="Times New Roman"/>
                <w:sz w:val="25"/>
                <w:szCs w:val="25"/>
              </w:rPr>
            </w:pPr>
            <w:r w:rsidRPr="00DD4015">
              <w:rPr>
                <w:rFonts w:ascii="Times New Roman" w:hAnsi="Times New Roman" w:cs="Times New Roman"/>
                <w:sz w:val="25"/>
                <w:szCs w:val="25"/>
              </w:rPr>
              <w:t>На дію даного регуляторного акту може негативно вплинути економічна криза.</w:t>
            </w:r>
          </w:p>
        </w:tc>
      </w:tr>
    </w:tbl>
    <w:p w:rsidR="00CE5DA7" w:rsidRPr="00DD4015" w:rsidRDefault="00CE5DA7" w:rsidP="00D233B4">
      <w:pPr>
        <w:ind w:left="360"/>
        <w:jc w:val="both"/>
        <w:rPr>
          <w:rFonts w:ascii="Times New Roman" w:hAnsi="Times New Roman" w:cs="Times New Roman"/>
          <w:sz w:val="25"/>
          <w:szCs w:val="25"/>
        </w:rPr>
      </w:pPr>
    </w:p>
    <w:p w:rsidR="006B0690" w:rsidRPr="00DD4015" w:rsidRDefault="006B0690" w:rsidP="00D233B4">
      <w:pPr>
        <w:ind w:left="360"/>
        <w:jc w:val="center"/>
        <w:rPr>
          <w:rFonts w:ascii="Times New Roman" w:hAnsi="Times New Roman" w:cs="Times New Roman"/>
          <w:b/>
          <w:bCs/>
          <w:sz w:val="25"/>
          <w:szCs w:val="25"/>
        </w:rPr>
      </w:pPr>
      <w:r w:rsidRPr="00DD4015">
        <w:rPr>
          <w:rFonts w:ascii="Times New Roman" w:hAnsi="Times New Roman" w:cs="Times New Roman"/>
          <w:b/>
          <w:bCs/>
          <w:sz w:val="25"/>
          <w:szCs w:val="25"/>
        </w:rPr>
        <w:t>5. Механізм та заходи, які забезпечать розв´язання визначеної проблеми.</w:t>
      </w:r>
    </w:p>
    <w:p w:rsidR="006B0690" w:rsidRPr="00DD4015" w:rsidRDefault="004C2AF6" w:rsidP="00D233B4">
      <w:pPr>
        <w:ind w:left="360"/>
        <w:jc w:val="both"/>
        <w:rPr>
          <w:rFonts w:ascii="Times New Roman" w:hAnsi="Times New Roman" w:cs="Times New Roman"/>
          <w:sz w:val="25"/>
          <w:szCs w:val="25"/>
        </w:rPr>
      </w:pPr>
      <w:r w:rsidRPr="00DD4015">
        <w:rPr>
          <w:rFonts w:ascii="Times New Roman" w:hAnsi="Times New Roman" w:cs="Times New Roman"/>
          <w:sz w:val="25"/>
          <w:szCs w:val="25"/>
        </w:rPr>
        <w:t>Запропоновані механізми регуляторного акту, за допомогою яких можна розв´язати проблему:</w:t>
      </w:r>
    </w:p>
    <w:p w:rsidR="004C2AF6" w:rsidRPr="00DD4015" w:rsidRDefault="004C2AF6"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Прийняття запропонованого про</w:t>
      </w:r>
      <w:r w:rsidR="007029FA" w:rsidRPr="00DD4015">
        <w:rPr>
          <w:rFonts w:ascii="Times New Roman" w:hAnsi="Times New Roman" w:cs="Times New Roman"/>
          <w:sz w:val="25"/>
          <w:szCs w:val="25"/>
        </w:rPr>
        <w:t>е</w:t>
      </w:r>
      <w:r w:rsidRPr="00DD4015">
        <w:rPr>
          <w:rFonts w:ascii="Times New Roman" w:hAnsi="Times New Roman" w:cs="Times New Roman"/>
          <w:sz w:val="25"/>
          <w:szCs w:val="25"/>
        </w:rPr>
        <w:t>кту рішення;</w:t>
      </w:r>
    </w:p>
    <w:p w:rsidR="004C2AF6" w:rsidRPr="00DD4015" w:rsidRDefault="004C2AF6"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Фактична реалізація положень регуляторного акту. Механізм дії даного регуляторного акту спрямований на безпосереднє розв´язання проблеми -</w:t>
      </w:r>
      <w:r w:rsidR="007029FA" w:rsidRPr="00DD4015">
        <w:rPr>
          <w:rFonts w:ascii="Times New Roman" w:hAnsi="Times New Roman" w:cs="Times New Roman"/>
          <w:sz w:val="25"/>
          <w:szCs w:val="25"/>
        </w:rPr>
        <w:t xml:space="preserve">неконтрольованого та самовільного розміщення рекламних конструкцій на </w:t>
      </w:r>
      <w:r w:rsidR="007029FA" w:rsidRPr="00DD4015">
        <w:rPr>
          <w:rFonts w:ascii="Times New Roman" w:hAnsi="Times New Roman" w:cs="Times New Roman"/>
          <w:sz w:val="25"/>
          <w:szCs w:val="25"/>
        </w:rPr>
        <w:lastRenderedPageBreak/>
        <w:t xml:space="preserve">території Піщанської сільської ради. Механізм дії даного регуляторного акту полягає у забезпеченні збалансованості інтересів органів місцевого самоврядування та суб´єктів господарювання на основі правових та організаційних засад, основних принципів здійснення державного контролю, визначених чинним законодавством. Визначаються права і обов´язки сторін під час здійснення контролю, що сприятиме досягненню поставлених цілей державного регулювання. Цей регуляторний акт містить норми, які спрямовані на приведення </w:t>
      </w:r>
      <w:r w:rsidR="00D14228" w:rsidRPr="00DD4015">
        <w:rPr>
          <w:rFonts w:ascii="Times New Roman" w:hAnsi="Times New Roman" w:cs="Times New Roman"/>
          <w:sz w:val="25"/>
          <w:szCs w:val="25"/>
        </w:rPr>
        <w:t xml:space="preserve">його у відповідність до чинного законодавства . Основними завданнями запропонованого проекту рішення є забезпечення прозорого процесу дій органів місцевого самоврядування та суб´єктів господарювання про вирішенні питань, </w:t>
      </w:r>
      <w:r w:rsidR="00B923AC" w:rsidRPr="00DD4015">
        <w:rPr>
          <w:rFonts w:ascii="Times New Roman" w:hAnsi="Times New Roman" w:cs="Times New Roman"/>
          <w:sz w:val="25"/>
          <w:szCs w:val="25"/>
        </w:rPr>
        <w:t>пов’язаних</w:t>
      </w:r>
      <w:r w:rsidR="00D14228" w:rsidRPr="00DD4015">
        <w:rPr>
          <w:rFonts w:ascii="Times New Roman" w:hAnsi="Times New Roman" w:cs="Times New Roman"/>
          <w:sz w:val="25"/>
          <w:szCs w:val="25"/>
        </w:rPr>
        <w:t xml:space="preserve"> з розміщенням </w:t>
      </w:r>
      <w:r w:rsidR="00B923AC" w:rsidRPr="00DD4015">
        <w:rPr>
          <w:rFonts w:ascii="Times New Roman" w:hAnsi="Times New Roman" w:cs="Times New Roman"/>
          <w:sz w:val="25"/>
          <w:szCs w:val="25"/>
        </w:rPr>
        <w:t>зовнішньої</w:t>
      </w:r>
      <w:r w:rsidR="00D14228" w:rsidRPr="00DD4015">
        <w:rPr>
          <w:rFonts w:ascii="Times New Roman" w:hAnsi="Times New Roman" w:cs="Times New Roman"/>
          <w:sz w:val="25"/>
          <w:szCs w:val="25"/>
        </w:rPr>
        <w:t xml:space="preserve"> реклами.</w:t>
      </w:r>
    </w:p>
    <w:p w:rsidR="00D14228" w:rsidRPr="00DD4015" w:rsidRDefault="00D14228" w:rsidP="00D233B4">
      <w:pPr>
        <w:pStyle w:val="a3"/>
        <w:ind w:left="622"/>
        <w:jc w:val="both"/>
        <w:rPr>
          <w:rFonts w:ascii="Times New Roman" w:hAnsi="Times New Roman" w:cs="Times New Roman"/>
          <w:sz w:val="25"/>
          <w:szCs w:val="25"/>
        </w:rPr>
      </w:pPr>
      <w:r w:rsidRPr="00DD4015">
        <w:rPr>
          <w:rFonts w:ascii="Times New Roman" w:hAnsi="Times New Roman" w:cs="Times New Roman"/>
          <w:sz w:val="25"/>
          <w:szCs w:val="25"/>
        </w:rPr>
        <w:t>Для впровадження цього регуляторного акту необхідно здійснити такі організаційні заходи:</w:t>
      </w:r>
    </w:p>
    <w:p w:rsidR="00D14228" w:rsidRPr="00DD4015" w:rsidRDefault="00D14228"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розробка проекту рішення Піщанської сільської ради «Про затвердження Положення про порядок розміщення зовнішньої реклами на території Піщанської сільської ради» та аналізу регуляторного впливу до нього;</w:t>
      </w:r>
    </w:p>
    <w:p w:rsidR="00D14228" w:rsidRPr="00DD4015" w:rsidRDefault="00D14228"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оприлюднення проекту рішення «</w:t>
      </w:r>
      <w:bookmarkStart w:id="2" w:name="_Hlk93666159"/>
      <w:r w:rsidR="00CE06B4" w:rsidRPr="00DD4015">
        <w:rPr>
          <w:rFonts w:ascii="Times New Roman" w:hAnsi="Times New Roman" w:cs="Times New Roman"/>
          <w:sz w:val="25"/>
          <w:szCs w:val="25"/>
        </w:rPr>
        <w:t>Про затвердження Положення про порядок розміщення зовнішньої реклами на території Піщанської сільської ради</w:t>
      </w:r>
      <w:bookmarkEnd w:id="2"/>
      <w:r w:rsidRPr="00DD4015">
        <w:rPr>
          <w:rFonts w:ascii="Times New Roman" w:hAnsi="Times New Roman" w:cs="Times New Roman"/>
          <w:sz w:val="25"/>
          <w:szCs w:val="25"/>
        </w:rPr>
        <w:t>»</w:t>
      </w:r>
      <w:r w:rsidR="00CE06B4" w:rsidRPr="00DD4015">
        <w:rPr>
          <w:rFonts w:ascii="Times New Roman" w:hAnsi="Times New Roman" w:cs="Times New Roman"/>
          <w:sz w:val="25"/>
          <w:szCs w:val="25"/>
        </w:rPr>
        <w:t xml:space="preserve"> та аналізу регуляторного впливу до нього на офіційному вед-сайті Піщанської сільської ради;</w:t>
      </w:r>
    </w:p>
    <w:p w:rsidR="00CE06B4" w:rsidRPr="00DD4015" w:rsidRDefault="00CE06B4"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розгляд обґрунтованих пропозицій та зауважень до проекту рішення, надані суб´єктами господарювання, представниками територіальної громади в установленому законом порядку ;</w:t>
      </w:r>
    </w:p>
    <w:p w:rsidR="00891314" w:rsidRPr="00DD4015" w:rsidRDefault="00891314"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отримання пропозицій по удосконаленню проекту рішення «Про затвердження Положення про порядок розміщення зовнішньої реклами на території Піщанської сільської ради» від Державної регуляторної служби України;</w:t>
      </w:r>
    </w:p>
    <w:p w:rsidR="00891314" w:rsidRPr="00DD4015" w:rsidRDefault="00891314" w:rsidP="00D233B4">
      <w:pPr>
        <w:pStyle w:val="a3"/>
        <w:numPr>
          <w:ilvl w:val="0"/>
          <w:numId w:val="4"/>
        </w:numPr>
        <w:jc w:val="both"/>
        <w:rPr>
          <w:rFonts w:ascii="Times New Roman" w:hAnsi="Times New Roman" w:cs="Times New Roman"/>
          <w:sz w:val="25"/>
          <w:szCs w:val="25"/>
        </w:rPr>
      </w:pPr>
      <w:r w:rsidRPr="00DD4015">
        <w:rPr>
          <w:rFonts w:ascii="Times New Roman" w:hAnsi="Times New Roman" w:cs="Times New Roman"/>
          <w:sz w:val="25"/>
          <w:szCs w:val="25"/>
        </w:rPr>
        <w:t>прийняття рішення «Про затвердження Положення про порядок розміщення зовнішньої реклами на території Піщанської сільської ради » на плен</w:t>
      </w:r>
      <w:r w:rsidR="00351968" w:rsidRPr="00DD4015">
        <w:rPr>
          <w:rFonts w:ascii="Times New Roman" w:hAnsi="Times New Roman" w:cs="Times New Roman"/>
          <w:sz w:val="25"/>
          <w:szCs w:val="25"/>
        </w:rPr>
        <w:t>арному засіданні сільської ради</w:t>
      </w:r>
      <w:r w:rsidRPr="00DD4015">
        <w:rPr>
          <w:rFonts w:ascii="Times New Roman" w:hAnsi="Times New Roman" w:cs="Times New Roman"/>
          <w:sz w:val="25"/>
          <w:szCs w:val="25"/>
        </w:rPr>
        <w:t>;</w:t>
      </w:r>
    </w:p>
    <w:p w:rsidR="00891314" w:rsidRPr="00DD4015" w:rsidRDefault="00891314" w:rsidP="00D233B4">
      <w:pPr>
        <w:pStyle w:val="a3"/>
        <w:numPr>
          <w:ilvl w:val="0"/>
          <w:numId w:val="4"/>
        </w:numPr>
        <w:jc w:val="both"/>
        <w:rPr>
          <w:rFonts w:ascii="Times New Roman" w:hAnsi="Times New Roman" w:cs="Times New Roman"/>
          <w:color w:val="FF0000"/>
          <w:sz w:val="25"/>
          <w:szCs w:val="25"/>
        </w:rPr>
      </w:pPr>
      <w:r w:rsidRPr="00DD4015">
        <w:rPr>
          <w:rFonts w:ascii="Times New Roman" w:hAnsi="Times New Roman" w:cs="Times New Roman"/>
          <w:sz w:val="25"/>
          <w:szCs w:val="25"/>
        </w:rPr>
        <w:t xml:space="preserve">офіційне оприлюднення рішення «Про затвердження Положення про порядок розміщення зовнішньої реклами на території Піщанської сільської ради» у спосіб, передбачений статтею 12 Закону України «Про засади державної регуляторної політики </w:t>
      </w:r>
      <w:r w:rsidR="00C76C25" w:rsidRPr="00DD4015">
        <w:rPr>
          <w:rFonts w:ascii="Times New Roman" w:hAnsi="Times New Roman" w:cs="Times New Roman"/>
          <w:sz w:val="25"/>
          <w:szCs w:val="25"/>
        </w:rPr>
        <w:t>у сфері господарської діяльності</w:t>
      </w:r>
      <w:r w:rsidRPr="00DD4015">
        <w:rPr>
          <w:rFonts w:ascii="Times New Roman" w:hAnsi="Times New Roman" w:cs="Times New Roman"/>
          <w:sz w:val="25"/>
          <w:szCs w:val="25"/>
        </w:rPr>
        <w:t>»</w:t>
      </w:r>
      <w:r w:rsidR="00C76C25" w:rsidRPr="00DD4015">
        <w:rPr>
          <w:rFonts w:ascii="Times New Roman" w:hAnsi="Times New Roman" w:cs="Times New Roman"/>
          <w:sz w:val="25"/>
          <w:szCs w:val="25"/>
        </w:rPr>
        <w:t xml:space="preserve"> з метою забезпечення інформованості громади та </w:t>
      </w:r>
      <w:r w:rsidR="00F84D63" w:rsidRPr="00DD4015">
        <w:rPr>
          <w:rFonts w:ascii="Times New Roman" w:hAnsi="Times New Roman" w:cs="Times New Roman"/>
          <w:sz w:val="25"/>
          <w:szCs w:val="25"/>
        </w:rPr>
        <w:t>суб’єктів</w:t>
      </w:r>
      <w:r w:rsidR="00C76C25" w:rsidRPr="00DD4015">
        <w:rPr>
          <w:rFonts w:ascii="Times New Roman" w:hAnsi="Times New Roman" w:cs="Times New Roman"/>
          <w:sz w:val="25"/>
          <w:szCs w:val="25"/>
        </w:rPr>
        <w:t xml:space="preserve"> господарювання </w:t>
      </w:r>
      <w:r w:rsidR="00F84D63" w:rsidRPr="00DD4015">
        <w:rPr>
          <w:rFonts w:ascii="Times New Roman" w:hAnsi="Times New Roman" w:cs="Times New Roman"/>
          <w:sz w:val="25"/>
          <w:szCs w:val="25"/>
        </w:rPr>
        <w:t>на</w:t>
      </w:r>
      <w:r w:rsidR="00C76C25" w:rsidRPr="00DD4015">
        <w:rPr>
          <w:rFonts w:ascii="Times New Roman" w:hAnsi="Times New Roman" w:cs="Times New Roman"/>
          <w:sz w:val="25"/>
          <w:szCs w:val="25"/>
        </w:rPr>
        <w:t xml:space="preserve"> офіційному веб-сайті Піщанської сільської ради та в розділі «Регуляторна діяльність». Проведення заходів з відстеження результативності дії прийнятого рішення.</w:t>
      </w:r>
    </w:p>
    <w:p w:rsidR="00C76C25" w:rsidRPr="00DD4015" w:rsidRDefault="00C76C25" w:rsidP="00D233B4">
      <w:pPr>
        <w:pStyle w:val="a3"/>
        <w:ind w:left="1330" w:firstLine="86"/>
        <w:jc w:val="both"/>
        <w:rPr>
          <w:rFonts w:ascii="Times New Roman" w:hAnsi="Times New Roman" w:cs="Times New Roman"/>
          <w:sz w:val="25"/>
          <w:szCs w:val="25"/>
        </w:rPr>
      </w:pPr>
      <w:r w:rsidRPr="00DD4015">
        <w:rPr>
          <w:rFonts w:ascii="Times New Roman" w:hAnsi="Times New Roman" w:cs="Times New Roman"/>
          <w:sz w:val="25"/>
          <w:szCs w:val="25"/>
        </w:rPr>
        <w:t>Ризику впливу зовнішніх факторів на дію регуляторного акту немає .</w:t>
      </w:r>
    </w:p>
    <w:p w:rsidR="00C76C25" w:rsidRPr="00DD4015" w:rsidRDefault="00C76C25" w:rsidP="00D233B4">
      <w:pPr>
        <w:pStyle w:val="a3"/>
        <w:ind w:left="0" w:firstLine="1330"/>
        <w:jc w:val="both"/>
        <w:rPr>
          <w:rFonts w:ascii="Times New Roman" w:hAnsi="Times New Roman" w:cs="Times New Roman"/>
          <w:sz w:val="25"/>
          <w:szCs w:val="25"/>
        </w:rPr>
      </w:pPr>
      <w:r w:rsidRPr="00DD4015">
        <w:rPr>
          <w:rFonts w:ascii="Times New Roman" w:hAnsi="Times New Roman" w:cs="Times New Roman"/>
          <w:sz w:val="25"/>
          <w:szCs w:val="25"/>
        </w:rPr>
        <w:t>Досягнення цілей не передбачає додаткових організаційних заходів. Запропонований вихід із ситуації, що склалася, відповідає принципам державної р</w:t>
      </w:r>
      <w:r w:rsidR="00F84D63" w:rsidRPr="00DD4015">
        <w:rPr>
          <w:rFonts w:ascii="Times New Roman" w:hAnsi="Times New Roman" w:cs="Times New Roman"/>
          <w:sz w:val="25"/>
          <w:szCs w:val="25"/>
        </w:rPr>
        <w:t>егуляторної політики, а саме</w:t>
      </w:r>
      <w:r w:rsidRPr="00DD4015">
        <w:rPr>
          <w:rFonts w:ascii="Times New Roman" w:hAnsi="Times New Roman" w:cs="Times New Roman"/>
          <w:sz w:val="25"/>
          <w:szCs w:val="25"/>
        </w:rPr>
        <w:t>: доцільності, ефективності</w:t>
      </w:r>
      <w:r w:rsidR="0053522B" w:rsidRPr="00DD4015">
        <w:rPr>
          <w:rFonts w:ascii="Times New Roman" w:hAnsi="Times New Roman" w:cs="Times New Roman"/>
          <w:sz w:val="25"/>
          <w:szCs w:val="25"/>
        </w:rPr>
        <w:t xml:space="preserve">, прозорості, передбачуваності, врахуванню громадської думки при вирішенні питань, пов´язаних з розміщенням зовнішньої реклами на території Піщанської сільської ради. Для </w:t>
      </w:r>
      <w:r w:rsidR="00F84D63" w:rsidRPr="00DD4015">
        <w:rPr>
          <w:rFonts w:ascii="Times New Roman" w:hAnsi="Times New Roman" w:cs="Times New Roman"/>
          <w:sz w:val="25"/>
          <w:szCs w:val="25"/>
        </w:rPr>
        <w:t>розв’язання</w:t>
      </w:r>
      <w:r w:rsidR="0053522B" w:rsidRPr="00DD4015">
        <w:rPr>
          <w:rFonts w:ascii="Times New Roman" w:hAnsi="Times New Roman" w:cs="Times New Roman"/>
          <w:sz w:val="25"/>
          <w:szCs w:val="25"/>
        </w:rPr>
        <w:t xml:space="preserve"> проблеми, зазначе</w:t>
      </w:r>
      <w:r w:rsidR="00F84D63" w:rsidRPr="00DD4015">
        <w:rPr>
          <w:rFonts w:ascii="Times New Roman" w:hAnsi="Times New Roman" w:cs="Times New Roman"/>
          <w:sz w:val="25"/>
          <w:szCs w:val="25"/>
        </w:rPr>
        <w:t xml:space="preserve">ної в </w:t>
      </w:r>
      <w:r w:rsidR="0053522B" w:rsidRPr="00DD4015">
        <w:rPr>
          <w:rFonts w:ascii="Times New Roman" w:hAnsi="Times New Roman" w:cs="Times New Roman"/>
          <w:sz w:val="25"/>
          <w:szCs w:val="25"/>
        </w:rPr>
        <w:t>розділі 1 цього Аналізу, пропонується прийняття сільською радою проекту рішення «</w:t>
      </w:r>
      <w:bookmarkStart w:id="3" w:name="_Hlk93667505"/>
      <w:r w:rsidR="0053522B" w:rsidRPr="00DD4015">
        <w:rPr>
          <w:rFonts w:ascii="Times New Roman" w:hAnsi="Times New Roman" w:cs="Times New Roman"/>
          <w:sz w:val="25"/>
          <w:szCs w:val="25"/>
        </w:rPr>
        <w:t>Про затвердження Положення про порядок розміщення зовнішньої реклами на території Піщанської сільської ради</w:t>
      </w:r>
      <w:bookmarkEnd w:id="3"/>
      <w:r w:rsidR="0053522B" w:rsidRPr="00DD4015">
        <w:rPr>
          <w:rFonts w:ascii="Times New Roman" w:hAnsi="Times New Roman" w:cs="Times New Roman"/>
          <w:sz w:val="25"/>
          <w:szCs w:val="25"/>
        </w:rPr>
        <w:t>».</w:t>
      </w:r>
    </w:p>
    <w:p w:rsidR="00F84D63" w:rsidRPr="00DD4015" w:rsidRDefault="00F84D63" w:rsidP="00D233B4">
      <w:pPr>
        <w:pStyle w:val="a3"/>
        <w:ind w:left="708" w:firstLine="622"/>
        <w:jc w:val="both"/>
        <w:rPr>
          <w:rFonts w:ascii="Times New Roman" w:hAnsi="Times New Roman" w:cs="Times New Roman"/>
          <w:sz w:val="25"/>
          <w:szCs w:val="25"/>
        </w:rPr>
      </w:pPr>
    </w:p>
    <w:p w:rsidR="0053522B" w:rsidRPr="00DD4015" w:rsidRDefault="0053522B" w:rsidP="00D233B4">
      <w:pPr>
        <w:pStyle w:val="a3"/>
        <w:ind w:left="622"/>
        <w:jc w:val="center"/>
        <w:rPr>
          <w:rFonts w:ascii="Times New Roman" w:hAnsi="Times New Roman" w:cs="Times New Roman"/>
          <w:b/>
          <w:bCs/>
          <w:sz w:val="25"/>
          <w:szCs w:val="25"/>
        </w:rPr>
      </w:pPr>
      <w:r w:rsidRPr="00DD4015">
        <w:rPr>
          <w:rFonts w:ascii="Times New Roman" w:hAnsi="Times New Roman" w:cs="Times New Roman"/>
          <w:b/>
          <w:bCs/>
          <w:sz w:val="25"/>
          <w:szCs w:val="25"/>
        </w:rPr>
        <w:t xml:space="preserve">6. Оцінка виконання вимог регуляторного акту залежно від ресурсів, якими розпоряджаються органи виконавчої влади чи органи місцевого </w:t>
      </w:r>
      <w:r w:rsidRPr="00DD4015">
        <w:rPr>
          <w:rFonts w:ascii="Times New Roman" w:hAnsi="Times New Roman" w:cs="Times New Roman"/>
          <w:b/>
          <w:bCs/>
          <w:sz w:val="25"/>
          <w:szCs w:val="25"/>
        </w:rPr>
        <w:lastRenderedPageBreak/>
        <w:t>самоврядування, фізичні та юридичні особи, які повинні проваджувати або виконувати ці вимоги.</w:t>
      </w:r>
    </w:p>
    <w:p w:rsidR="0053522B" w:rsidRPr="00DD4015" w:rsidRDefault="0053522B"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Проект рішення стосується інтересів </w:t>
      </w:r>
      <w:r w:rsidR="004F0118" w:rsidRPr="00DD4015">
        <w:rPr>
          <w:rFonts w:ascii="Times New Roman" w:hAnsi="Times New Roman" w:cs="Times New Roman"/>
          <w:sz w:val="25"/>
          <w:szCs w:val="25"/>
        </w:rPr>
        <w:t xml:space="preserve">Піщанської сільської ради, суб´єктів господарювання. Негативних наслідків у зв´язку з прийняттям регуляторного акту не очікується. Впровадження вимог такого регуляторного акту не потребує додаткових витрат з бюджету, оскільки здійснюється в межах повноважень органів місцевого самоврядування. Запропонований проект регуляторного акту не передбачає бюджетних витрат на адміністрування регулювання для суб´єктів </w:t>
      </w:r>
      <w:r w:rsidR="00F84D63" w:rsidRPr="00DD4015">
        <w:rPr>
          <w:rFonts w:ascii="Times New Roman" w:hAnsi="Times New Roman" w:cs="Times New Roman"/>
          <w:sz w:val="25"/>
          <w:szCs w:val="25"/>
        </w:rPr>
        <w:t xml:space="preserve">великого, середнього або малого </w:t>
      </w:r>
      <w:r w:rsidR="004F0118" w:rsidRPr="00DD4015">
        <w:rPr>
          <w:rFonts w:ascii="Times New Roman" w:hAnsi="Times New Roman" w:cs="Times New Roman"/>
          <w:sz w:val="25"/>
          <w:szCs w:val="25"/>
        </w:rPr>
        <w:t>підприємництва, у тому числі для комунальних підприємств.</w:t>
      </w:r>
    </w:p>
    <w:p w:rsidR="003468B8" w:rsidRPr="00DD4015" w:rsidRDefault="003468B8" w:rsidP="00D233B4">
      <w:pPr>
        <w:pStyle w:val="a3"/>
        <w:ind w:left="622"/>
        <w:jc w:val="both"/>
        <w:rPr>
          <w:rFonts w:ascii="Times New Roman" w:hAnsi="Times New Roman" w:cs="Times New Roman"/>
          <w:sz w:val="25"/>
          <w:szCs w:val="25"/>
        </w:rPr>
      </w:pPr>
    </w:p>
    <w:p w:rsidR="004F0118" w:rsidRPr="00DD4015" w:rsidRDefault="004F0118" w:rsidP="00D233B4">
      <w:pPr>
        <w:pStyle w:val="a3"/>
        <w:ind w:left="622"/>
        <w:jc w:val="center"/>
        <w:rPr>
          <w:rFonts w:ascii="Times New Roman" w:hAnsi="Times New Roman" w:cs="Times New Roman"/>
          <w:b/>
          <w:bCs/>
          <w:sz w:val="25"/>
          <w:szCs w:val="25"/>
        </w:rPr>
      </w:pPr>
      <w:r w:rsidRPr="00DD4015">
        <w:rPr>
          <w:rFonts w:ascii="Times New Roman" w:hAnsi="Times New Roman" w:cs="Times New Roman"/>
          <w:b/>
          <w:bCs/>
          <w:sz w:val="25"/>
          <w:szCs w:val="25"/>
        </w:rPr>
        <w:t>7.Об</w:t>
      </w:r>
      <w:r w:rsidR="003468B8" w:rsidRPr="00DD4015">
        <w:rPr>
          <w:rFonts w:ascii="Times New Roman" w:hAnsi="Times New Roman" w:cs="Times New Roman"/>
          <w:b/>
          <w:bCs/>
          <w:sz w:val="25"/>
          <w:szCs w:val="25"/>
        </w:rPr>
        <w:t>ґ</w:t>
      </w:r>
      <w:r w:rsidRPr="00DD4015">
        <w:rPr>
          <w:rFonts w:ascii="Times New Roman" w:hAnsi="Times New Roman" w:cs="Times New Roman"/>
          <w:b/>
          <w:bCs/>
          <w:sz w:val="25"/>
          <w:szCs w:val="25"/>
        </w:rPr>
        <w:t>рунтування запропонованого строку дії регуляторного акту.</w:t>
      </w:r>
    </w:p>
    <w:p w:rsidR="003468B8" w:rsidRPr="00DD4015" w:rsidRDefault="003468B8" w:rsidP="00D233B4">
      <w:pPr>
        <w:jc w:val="both"/>
        <w:rPr>
          <w:rFonts w:ascii="Times New Roman" w:hAnsi="Times New Roman" w:cs="Times New Roman"/>
          <w:sz w:val="25"/>
          <w:szCs w:val="25"/>
        </w:rPr>
      </w:pPr>
      <w:r w:rsidRPr="00DD4015">
        <w:rPr>
          <w:rFonts w:ascii="Times New Roman" w:hAnsi="Times New Roman" w:cs="Times New Roman"/>
          <w:sz w:val="25"/>
          <w:szCs w:val="25"/>
        </w:rPr>
        <w:t>Термін дії регуляторного акту не обмежений у часі . Зміна терміну дії акту можлива в разі зміни правих актів, на вимогах яких базується проект.</w:t>
      </w:r>
    </w:p>
    <w:p w:rsidR="003468B8" w:rsidRPr="00DD4015" w:rsidRDefault="003468B8" w:rsidP="00D233B4">
      <w:pPr>
        <w:pStyle w:val="a3"/>
        <w:ind w:left="622"/>
        <w:jc w:val="center"/>
        <w:rPr>
          <w:rFonts w:ascii="Times New Roman" w:hAnsi="Times New Roman" w:cs="Times New Roman"/>
          <w:b/>
          <w:bCs/>
          <w:sz w:val="25"/>
          <w:szCs w:val="25"/>
        </w:rPr>
      </w:pPr>
      <w:r w:rsidRPr="00DD4015">
        <w:rPr>
          <w:rFonts w:ascii="Times New Roman" w:hAnsi="Times New Roman" w:cs="Times New Roman"/>
          <w:b/>
          <w:bCs/>
          <w:sz w:val="25"/>
          <w:szCs w:val="25"/>
        </w:rPr>
        <w:t>8.Визначення показників результативності дії регуляторного акту.</w:t>
      </w:r>
    </w:p>
    <w:p w:rsidR="003468B8" w:rsidRPr="00DD4015" w:rsidRDefault="003468B8" w:rsidP="00D233B4">
      <w:pPr>
        <w:jc w:val="both"/>
        <w:rPr>
          <w:rFonts w:ascii="Times New Roman" w:hAnsi="Times New Roman" w:cs="Times New Roman"/>
          <w:sz w:val="25"/>
          <w:szCs w:val="25"/>
        </w:rPr>
      </w:pPr>
      <w:r w:rsidRPr="00DD4015">
        <w:rPr>
          <w:rFonts w:ascii="Times New Roman" w:hAnsi="Times New Roman" w:cs="Times New Roman"/>
          <w:sz w:val="25"/>
          <w:szCs w:val="25"/>
        </w:rPr>
        <w:t>Ефективність регуляторного впливу рішення Піщанської сільської ради «Про затвердження Положення про порядок розміщення зовнішньої реклами на території Піщанської сільської ради» визначатиметься за такими показниками</w:t>
      </w:r>
      <w:r w:rsidR="00084C12" w:rsidRPr="00DD4015">
        <w:rPr>
          <w:rFonts w:ascii="Times New Roman" w:hAnsi="Times New Roman" w:cs="Times New Roman"/>
          <w:sz w:val="25"/>
          <w:szCs w:val="25"/>
        </w:rPr>
        <w:t xml:space="preserve"> :</w:t>
      </w:r>
    </w:p>
    <w:p w:rsidR="00084C12" w:rsidRPr="00DD4015" w:rsidRDefault="00084C12" w:rsidP="00D233B4">
      <w:pPr>
        <w:pStyle w:val="a3"/>
        <w:numPr>
          <w:ilvl w:val="0"/>
          <w:numId w:val="5"/>
        </w:numPr>
        <w:jc w:val="both"/>
        <w:rPr>
          <w:rFonts w:ascii="Times New Roman" w:hAnsi="Times New Roman" w:cs="Times New Roman"/>
          <w:sz w:val="25"/>
          <w:szCs w:val="25"/>
        </w:rPr>
      </w:pPr>
      <w:r w:rsidRPr="00DD4015">
        <w:rPr>
          <w:rFonts w:ascii="Times New Roman" w:hAnsi="Times New Roman" w:cs="Times New Roman"/>
          <w:sz w:val="25"/>
          <w:szCs w:val="25"/>
        </w:rPr>
        <w:t>Загальна кількість розповсюджувачі</w:t>
      </w:r>
      <w:r w:rsidR="00F84D63" w:rsidRPr="00DD4015">
        <w:rPr>
          <w:rFonts w:ascii="Times New Roman" w:hAnsi="Times New Roman" w:cs="Times New Roman"/>
          <w:sz w:val="25"/>
          <w:szCs w:val="25"/>
        </w:rPr>
        <w:t xml:space="preserve">в зовнішньої реклами (суб’єктів </w:t>
      </w:r>
      <w:r w:rsidRPr="00DD4015">
        <w:rPr>
          <w:rFonts w:ascii="Times New Roman" w:hAnsi="Times New Roman" w:cs="Times New Roman"/>
          <w:sz w:val="25"/>
          <w:szCs w:val="25"/>
        </w:rPr>
        <w:t>господарювання) на тери</w:t>
      </w:r>
      <w:r w:rsidR="00F84D63" w:rsidRPr="00DD4015">
        <w:rPr>
          <w:rFonts w:ascii="Times New Roman" w:hAnsi="Times New Roman" w:cs="Times New Roman"/>
          <w:sz w:val="25"/>
          <w:szCs w:val="25"/>
        </w:rPr>
        <w:t>торії Піщанської сільської ради</w:t>
      </w:r>
      <w:r w:rsidRPr="00DD4015">
        <w:rPr>
          <w:rFonts w:ascii="Times New Roman" w:hAnsi="Times New Roman" w:cs="Times New Roman"/>
          <w:sz w:val="25"/>
          <w:szCs w:val="25"/>
        </w:rPr>
        <w:t>;</w:t>
      </w:r>
    </w:p>
    <w:p w:rsidR="00084C12" w:rsidRPr="00DD4015" w:rsidRDefault="00084C12" w:rsidP="00D233B4">
      <w:pPr>
        <w:pStyle w:val="a3"/>
        <w:numPr>
          <w:ilvl w:val="0"/>
          <w:numId w:val="5"/>
        </w:numPr>
        <w:jc w:val="both"/>
        <w:rPr>
          <w:rFonts w:ascii="Times New Roman" w:hAnsi="Times New Roman" w:cs="Times New Roman"/>
          <w:sz w:val="25"/>
          <w:szCs w:val="25"/>
        </w:rPr>
      </w:pPr>
      <w:r w:rsidRPr="00DD4015">
        <w:rPr>
          <w:rFonts w:ascii="Times New Roman" w:hAnsi="Times New Roman" w:cs="Times New Roman"/>
          <w:sz w:val="25"/>
          <w:szCs w:val="25"/>
        </w:rPr>
        <w:t>Загальна кількість рекламо носіїв.</w:t>
      </w:r>
    </w:p>
    <w:p w:rsidR="00084C12" w:rsidRPr="00DD4015" w:rsidRDefault="00084C12" w:rsidP="00D233B4">
      <w:pPr>
        <w:pStyle w:val="a3"/>
        <w:numPr>
          <w:ilvl w:val="0"/>
          <w:numId w:val="5"/>
        </w:numPr>
        <w:jc w:val="both"/>
        <w:rPr>
          <w:rFonts w:ascii="Times New Roman" w:hAnsi="Times New Roman" w:cs="Times New Roman"/>
          <w:sz w:val="25"/>
          <w:szCs w:val="25"/>
        </w:rPr>
      </w:pPr>
      <w:r w:rsidRPr="00DD4015">
        <w:rPr>
          <w:rFonts w:ascii="Times New Roman" w:hAnsi="Times New Roman" w:cs="Times New Roman"/>
          <w:sz w:val="25"/>
          <w:szCs w:val="25"/>
        </w:rPr>
        <w:t>Кількість наданих заяв на розміщення зовнішньої реклами.</w:t>
      </w:r>
    </w:p>
    <w:p w:rsidR="00084C12" w:rsidRPr="00DD4015" w:rsidRDefault="00084C12" w:rsidP="00D233B4">
      <w:pPr>
        <w:pStyle w:val="a3"/>
        <w:numPr>
          <w:ilvl w:val="0"/>
          <w:numId w:val="5"/>
        </w:numPr>
        <w:jc w:val="both"/>
        <w:rPr>
          <w:rFonts w:ascii="Times New Roman" w:hAnsi="Times New Roman" w:cs="Times New Roman"/>
          <w:sz w:val="25"/>
          <w:szCs w:val="25"/>
        </w:rPr>
      </w:pPr>
      <w:r w:rsidRPr="00DD4015">
        <w:rPr>
          <w:rFonts w:ascii="Times New Roman" w:hAnsi="Times New Roman" w:cs="Times New Roman"/>
          <w:sz w:val="25"/>
          <w:szCs w:val="25"/>
        </w:rPr>
        <w:t>Кількість наданих дозволів на розміщення зовнішньої реклами.</w:t>
      </w:r>
    </w:p>
    <w:p w:rsidR="00084C12" w:rsidRPr="00DD4015" w:rsidRDefault="00084C12" w:rsidP="00D233B4">
      <w:pPr>
        <w:pStyle w:val="a3"/>
        <w:numPr>
          <w:ilvl w:val="0"/>
          <w:numId w:val="5"/>
        </w:numPr>
        <w:jc w:val="both"/>
        <w:rPr>
          <w:rFonts w:ascii="Times New Roman" w:hAnsi="Times New Roman" w:cs="Times New Roman"/>
          <w:sz w:val="25"/>
          <w:szCs w:val="25"/>
        </w:rPr>
      </w:pPr>
      <w:r w:rsidRPr="00DD4015">
        <w:rPr>
          <w:rFonts w:ascii="Times New Roman" w:hAnsi="Times New Roman" w:cs="Times New Roman"/>
          <w:sz w:val="25"/>
          <w:szCs w:val="25"/>
        </w:rPr>
        <w:t>Строк отримання дозволу на розміщення зовнішньої реклами.</w:t>
      </w:r>
    </w:p>
    <w:p w:rsidR="00084C12" w:rsidRPr="00DD4015" w:rsidRDefault="00084C12" w:rsidP="00D233B4">
      <w:pPr>
        <w:pStyle w:val="a3"/>
        <w:numPr>
          <w:ilvl w:val="0"/>
          <w:numId w:val="5"/>
        </w:numPr>
        <w:jc w:val="both"/>
        <w:rPr>
          <w:rFonts w:ascii="Times New Roman" w:hAnsi="Times New Roman" w:cs="Times New Roman"/>
          <w:sz w:val="25"/>
          <w:szCs w:val="25"/>
        </w:rPr>
      </w:pPr>
      <w:r w:rsidRPr="00DD4015">
        <w:rPr>
          <w:rFonts w:ascii="Times New Roman" w:hAnsi="Times New Roman" w:cs="Times New Roman"/>
          <w:sz w:val="25"/>
          <w:szCs w:val="25"/>
        </w:rPr>
        <w:t>Естетичні зміни в процесі реалізації вказаного Порядку зовнішньої реклами.</w:t>
      </w:r>
    </w:p>
    <w:p w:rsidR="00084C12" w:rsidRPr="00DD4015" w:rsidRDefault="00084C12" w:rsidP="00D233B4">
      <w:pPr>
        <w:pStyle w:val="a3"/>
        <w:ind w:left="982"/>
        <w:jc w:val="both"/>
        <w:rPr>
          <w:rFonts w:ascii="Times New Roman" w:hAnsi="Times New Roman" w:cs="Times New Roman"/>
          <w:sz w:val="25"/>
          <w:szCs w:val="25"/>
        </w:rPr>
      </w:pPr>
    </w:p>
    <w:p w:rsidR="00084C12" w:rsidRPr="00DD4015" w:rsidRDefault="00084C12" w:rsidP="00D233B4">
      <w:pPr>
        <w:pStyle w:val="a3"/>
        <w:ind w:left="982"/>
        <w:jc w:val="center"/>
        <w:rPr>
          <w:rFonts w:ascii="Times New Roman" w:hAnsi="Times New Roman" w:cs="Times New Roman"/>
          <w:b/>
          <w:bCs/>
          <w:sz w:val="25"/>
          <w:szCs w:val="25"/>
        </w:rPr>
      </w:pPr>
      <w:r w:rsidRPr="00DD4015">
        <w:rPr>
          <w:rFonts w:ascii="Times New Roman" w:hAnsi="Times New Roman" w:cs="Times New Roman"/>
          <w:b/>
          <w:bCs/>
          <w:sz w:val="25"/>
          <w:szCs w:val="25"/>
        </w:rPr>
        <w:t>9.Визначення заходів, за допомогою яких здійснюватиметься відстеження результативності дії регуляторного акту.</w:t>
      </w:r>
    </w:p>
    <w:p w:rsidR="00084C12" w:rsidRPr="00DD4015" w:rsidRDefault="00084C12" w:rsidP="00D233B4">
      <w:pPr>
        <w:jc w:val="both"/>
        <w:rPr>
          <w:rFonts w:ascii="Times New Roman" w:hAnsi="Times New Roman" w:cs="Times New Roman"/>
          <w:sz w:val="25"/>
          <w:szCs w:val="25"/>
        </w:rPr>
      </w:pPr>
      <w:r w:rsidRPr="00DD4015">
        <w:rPr>
          <w:rFonts w:ascii="Times New Roman" w:hAnsi="Times New Roman" w:cs="Times New Roman"/>
          <w:sz w:val="25"/>
          <w:szCs w:val="25"/>
        </w:rPr>
        <w:t>Базове відстеження результативності регуляторного акту здійснюється до дня набрання ним чинності.</w:t>
      </w:r>
    </w:p>
    <w:p w:rsidR="00084C12" w:rsidRPr="00DD4015" w:rsidRDefault="00084C12" w:rsidP="00D233B4">
      <w:pPr>
        <w:jc w:val="both"/>
        <w:rPr>
          <w:rFonts w:ascii="Times New Roman" w:hAnsi="Times New Roman" w:cs="Times New Roman"/>
          <w:sz w:val="25"/>
          <w:szCs w:val="25"/>
        </w:rPr>
      </w:pPr>
      <w:r w:rsidRPr="00DD4015">
        <w:rPr>
          <w:rFonts w:ascii="Times New Roman" w:hAnsi="Times New Roman" w:cs="Times New Roman"/>
          <w:sz w:val="25"/>
          <w:szCs w:val="25"/>
        </w:rPr>
        <w:t>Повторне відстеження результативності буде здійснюватися через рік після проведення базового відстеження.</w:t>
      </w:r>
    </w:p>
    <w:p w:rsidR="0022793A" w:rsidRPr="00DD4015" w:rsidRDefault="00084C12"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Періодичні відстеження результативності </w:t>
      </w:r>
      <w:r w:rsidR="0022793A" w:rsidRPr="00DD4015">
        <w:rPr>
          <w:rFonts w:ascii="Times New Roman" w:hAnsi="Times New Roman" w:cs="Times New Roman"/>
          <w:sz w:val="25"/>
          <w:szCs w:val="25"/>
        </w:rPr>
        <w:t>будуть здійснюватись раз на кожні три роки, починаючи від дня закінчення заходів з повторного відстеження результативності.</w:t>
      </w:r>
    </w:p>
    <w:p w:rsidR="0022793A" w:rsidRPr="00DD4015" w:rsidRDefault="0022793A" w:rsidP="00D233B4">
      <w:pPr>
        <w:jc w:val="both"/>
        <w:rPr>
          <w:rFonts w:ascii="Times New Roman" w:hAnsi="Times New Roman" w:cs="Times New Roman"/>
          <w:sz w:val="25"/>
          <w:szCs w:val="25"/>
        </w:rPr>
      </w:pPr>
      <w:r w:rsidRPr="00DD4015">
        <w:rPr>
          <w:rFonts w:ascii="Times New Roman" w:hAnsi="Times New Roman" w:cs="Times New Roman"/>
          <w:sz w:val="25"/>
          <w:szCs w:val="25"/>
        </w:rPr>
        <w:t xml:space="preserve">Метод проведення відстеження </w:t>
      </w:r>
      <w:r w:rsidR="00F84D63" w:rsidRPr="00DD4015">
        <w:rPr>
          <w:rFonts w:ascii="Times New Roman" w:hAnsi="Times New Roman" w:cs="Times New Roman"/>
          <w:sz w:val="25"/>
          <w:szCs w:val="25"/>
        </w:rPr>
        <w:t>результативності</w:t>
      </w:r>
      <w:r w:rsidRPr="00DD4015">
        <w:rPr>
          <w:rFonts w:ascii="Times New Roman" w:hAnsi="Times New Roman" w:cs="Times New Roman"/>
          <w:sz w:val="25"/>
          <w:szCs w:val="25"/>
        </w:rPr>
        <w:t xml:space="preserve"> – статистичний.</w:t>
      </w:r>
    </w:p>
    <w:p w:rsidR="00084C12" w:rsidRPr="00DD4015" w:rsidRDefault="0022793A" w:rsidP="00D233B4">
      <w:pPr>
        <w:jc w:val="both"/>
        <w:rPr>
          <w:rFonts w:ascii="Times New Roman" w:hAnsi="Times New Roman" w:cs="Times New Roman"/>
          <w:sz w:val="25"/>
          <w:szCs w:val="25"/>
        </w:rPr>
      </w:pPr>
      <w:r w:rsidRPr="00DD4015">
        <w:rPr>
          <w:rFonts w:ascii="Times New Roman" w:hAnsi="Times New Roman" w:cs="Times New Roman"/>
          <w:sz w:val="25"/>
          <w:szCs w:val="25"/>
        </w:rPr>
        <w:t>Відстеження результативності здійснюватиметься на підставі статистичних даних.</w:t>
      </w:r>
      <w:r w:rsidR="00084C12" w:rsidRPr="00DD4015">
        <w:rPr>
          <w:rFonts w:ascii="Times New Roman" w:hAnsi="Times New Roman" w:cs="Times New Roman"/>
          <w:sz w:val="25"/>
          <w:szCs w:val="25"/>
        </w:rPr>
        <w:t xml:space="preserve"> </w:t>
      </w:r>
    </w:p>
    <w:sectPr w:rsidR="00084C12" w:rsidRPr="00DD4015" w:rsidSect="0076462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4991"/>
    <w:multiLevelType w:val="hybridMultilevel"/>
    <w:tmpl w:val="C78C0172"/>
    <w:lvl w:ilvl="0" w:tplc="A7CE2110">
      <w:start w:val="1"/>
      <w:numFmt w:val="decimal"/>
      <w:lvlText w:val="%1."/>
      <w:lvlJc w:val="left"/>
      <w:pPr>
        <w:ind w:left="982" w:hanging="360"/>
      </w:pPr>
      <w:rPr>
        <w:rFonts w:hint="default"/>
      </w:rPr>
    </w:lvl>
    <w:lvl w:ilvl="1" w:tplc="04220019" w:tentative="1">
      <w:start w:val="1"/>
      <w:numFmt w:val="lowerLetter"/>
      <w:lvlText w:val="%2."/>
      <w:lvlJc w:val="left"/>
      <w:pPr>
        <w:ind w:left="1702" w:hanging="360"/>
      </w:pPr>
    </w:lvl>
    <w:lvl w:ilvl="2" w:tplc="0422001B" w:tentative="1">
      <w:start w:val="1"/>
      <w:numFmt w:val="lowerRoman"/>
      <w:lvlText w:val="%3."/>
      <w:lvlJc w:val="right"/>
      <w:pPr>
        <w:ind w:left="2422" w:hanging="180"/>
      </w:pPr>
    </w:lvl>
    <w:lvl w:ilvl="3" w:tplc="0422000F" w:tentative="1">
      <w:start w:val="1"/>
      <w:numFmt w:val="decimal"/>
      <w:lvlText w:val="%4."/>
      <w:lvlJc w:val="left"/>
      <w:pPr>
        <w:ind w:left="3142" w:hanging="360"/>
      </w:pPr>
    </w:lvl>
    <w:lvl w:ilvl="4" w:tplc="04220019" w:tentative="1">
      <w:start w:val="1"/>
      <w:numFmt w:val="lowerLetter"/>
      <w:lvlText w:val="%5."/>
      <w:lvlJc w:val="left"/>
      <w:pPr>
        <w:ind w:left="3862" w:hanging="360"/>
      </w:pPr>
    </w:lvl>
    <w:lvl w:ilvl="5" w:tplc="0422001B" w:tentative="1">
      <w:start w:val="1"/>
      <w:numFmt w:val="lowerRoman"/>
      <w:lvlText w:val="%6."/>
      <w:lvlJc w:val="right"/>
      <w:pPr>
        <w:ind w:left="4582" w:hanging="180"/>
      </w:pPr>
    </w:lvl>
    <w:lvl w:ilvl="6" w:tplc="0422000F" w:tentative="1">
      <w:start w:val="1"/>
      <w:numFmt w:val="decimal"/>
      <w:lvlText w:val="%7."/>
      <w:lvlJc w:val="left"/>
      <w:pPr>
        <w:ind w:left="5302" w:hanging="360"/>
      </w:pPr>
    </w:lvl>
    <w:lvl w:ilvl="7" w:tplc="04220019" w:tentative="1">
      <w:start w:val="1"/>
      <w:numFmt w:val="lowerLetter"/>
      <w:lvlText w:val="%8."/>
      <w:lvlJc w:val="left"/>
      <w:pPr>
        <w:ind w:left="6022" w:hanging="360"/>
      </w:pPr>
    </w:lvl>
    <w:lvl w:ilvl="8" w:tplc="0422001B" w:tentative="1">
      <w:start w:val="1"/>
      <w:numFmt w:val="lowerRoman"/>
      <w:lvlText w:val="%9."/>
      <w:lvlJc w:val="right"/>
      <w:pPr>
        <w:ind w:left="6742" w:hanging="180"/>
      </w:pPr>
    </w:lvl>
  </w:abstractNum>
  <w:abstractNum w:abstractNumId="1">
    <w:nsid w:val="2D5D0EAB"/>
    <w:multiLevelType w:val="hybridMultilevel"/>
    <w:tmpl w:val="375EA3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5F2340A"/>
    <w:multiLevelType w:val="hybridMultilevel"/>
    <w:tmpl w:val="7EC247A0"/>
    <w:lvl w:ilvl="0" w:tplc="F91661C6">
      <w:start w:val="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53425915"/>
    <w:multiLevelType w:val="hybridMultilevel"/>
    <w:tmpl w:val="281AF48E"/>
    <w:lvl w:ilvl="0" w:tplc="04F22022">
      <w:start w:val="1"/>
      <w:numFmt w:val="bullet"/>
      <w:lvlText w:val="-"/>
      <w:lvlJc w:val="left"/>
      <w:pPr>
        <w:ind w:left="622" w:hanging="360"/>
      </w:pPr>
      <w:rPr>
        <w:rFonts w:ascii="Times New Roman" w:eastAsiaTheme="minorHAnsi" w:hAnsi="Times New Roman" w:cs="Times New Roman" w:hint="default"/>
      </w:rPr>
    </w:lvl>
    <w:lvl w:ilvl="1" w:tplc="04220003" w:tentative="1">
      <w:start w:val="1"/>
      <w:numFmt w:val="bullet"/>
      <w:lvlText w:val="o"/>
      <w:lvlJc w:val="left"/>
      <w:pPr>
        <w:ind w:left="1342" w:hanging="360"/>
      </w:pPr>
      <w:rPr>
        <w:rFonts w:ascii="Courier New" w:hAnsi="Courier New" w:cs="Courier New" w:hint="default"/>
      </w:rPr>
    </w:lvl>
    <w:lvl w:ilvl="2" w:tplc="04220005" w:tentative="1">
      <w:start w:val="1"/>
      <w:numFmt w:val="bullet"/>
      <w:lvlText w:val=""/>
      <w:lvlJc w:val="left"/>
      <w:pPr>
        <w:ind w:left="2062" w:hanging="360"/>
      </w:pPr>
      <w:rPr>
        <w:rFonts w:ascii="Wingdings" w:hAnsi="Wingdings" w:hint="default"/>
      </w:rPr>
    </w:lvl>
    <w:lvl w:ilvl="3" w:tplc="04220001" w:tentative="1">
      <w:start w:val="1"/>
      <w:numFmt w:val="bullet"/>
      <w:lvlText w:val=""/>
      <w:lvlJc w:val="left"/>
      <w:pPr>
        <w:ind w:left="2782" w:hanging="360"/>
      </w:pPr>
      <w:rPr>
        <w:rFonts w:ascii="Symbol" w:hAnsi="Symbol" w:hint="default"/>
      </w:rPr>
    </w:lvl>
    <w:lvl w:ilvl="4" w:tplc="04220003" w:tentative="1">
      <w:start w:val="1"/>
      <w:numFmt w:val="bullet"/>
      <w:lvlText w:val="o"/>
      <w:lvlJc w:val="left"/>
      <w:pPr>
        <w:ind w:left="3502" w:hanging="360"/>
      </w:pPr>
      <w:rPr>
        <w:rFonts w:ascii="Courier New" w:hAnsi="Courier New" w:cs="Courier New" w:hint="default"/>
      </w:rPr>
    </w:lvl>
    <w:lvl w:ilvl="5" w:tplc="04220005" w:tentative="1">
      <w:start w:val="1"/>
      <w:numFmt w:val="bullet"/>
      <w:lvlText w:val=""/>
      <w:lvlJc w:val="left"/>
      <w:pPr>
        <w:ind w:left="4222" w:hanging="360"/>
      </w:pPr>
      <w:rPr>
        <w:rFonts w:ascii="Wingdings" w:hAnsi="Wingdings" w:hint="default"/>
      </w:rPr>
    </w:lvl>
    <w:lvl w:ilvl="6" w:tplc="04220001" w:tentative="1">
      <w:start w:val="1"/>
      <w:numFmt w:val="bullet"/>
      <w:lvlText w:val=""/>
      <w:lvlJc w:val="left"/>
      <w:pPr>
        <w:ind w:left="4942" w:hanging="360"/>
      </w:pPr>
      <w:rPr>
        <w:rFonts w:ascii="Symbol" w:hAnsi="Symbol" w:hint="default"/>
      </w:rPr>
    </w:lvl>
    <w:lvl w:ilvl="7" w:tplc="04220003" w:tentative="1">
      <w:start w:val="1"/>
      <w:numFmt w:val="bullet"/>
      <w:lvlText w:val="o"/>
      <w:lvlJc w:val="left"/>
      <w:pPr>
        <w:ind w:left="5662" w:hanging="360"/>
      </w:pPr>
      <w:rPr>
        <w:rFonts w:ascii="Courier New" w:hAnsi="Courier New" w:cs="Courier New" w:hint="default"/>
      </w:rPr>
    </w:lvl>
    <w:lvl w:ilvl="8" w:tplc="04220005" w:tentative="1">
      <w:start w:val="1"/>
      <w:numFmt w:val="bullet"/>
      <w:lvlText w:val=""/>
      <w:lvlJc w:val="left"/>
      <w:pPr>
        <w:ind w:left="6382" w:hanging="360"/>
      </w:pPr>
      <w:rPr>
        <w:rFonts w:ascii="Wingdings" w:hAnsi="Wingdings" w:hint="default"/>
      </w:rPr>
    </w:lvl>
  </w:abstractNum>
  <w:abstractNum w:abstractNumId="4">
    <w:nsid w:val="68E14718"/>
    <w:multiLevelType w:val="hybridMultilevel"/>
    <w:tmpl w:val="471678D4"/>
    <w:lvl w:ilvl="0" w:tplc="C9BE2A9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585A"/>
    <w:rsid w:val="000128B2"/>
    <w:rsid w:val="00077CEB"/>
    <w:rsid w:val="00084C12"/>
    <w:rsid w:val="000B05DF"/>
    <w:rsid w:val="001D2899"/>
    <w:rsid w:val="002235C9"/>
    <w:rsid w:val="0022793A"/>
    <w:rsid w:val="00265869"/>
    <w:rsid w:val="003468B8"/>
    <w:rsid w:val="00351968"/>
    <w:rsid w:val="0036009D"/>
    <w:rsid w:val="004C2AF6"/>
    <w:rsid w:val="004F0118"/>
    <w:rsid w:val="0053522B"/>
    <w:rsid w:val="006754D8"/>
    <w:rsid w:val="006B0690"/>
    <w:rsid w:val="007021F3"/>
    <w:rsid w:val="007029FA"/>
    <w:rsid w:val="00764624"/>
    <w:rsid w:val="00891314"/>
    <w:rsid w:val="00895F69"/>
    <w:rsid w:val="008B69D9"/>
    <w:rsid w:val="009B6B1D"/>
    <w:rsid w:val="00A24A66"/>
    <w:rsid w:val="00A653BF"/>
    <w:rsid w:val="00A92480"/>
    <w:rsid w:val="00B370CC"/>
    <w:rsid w:val="00B923AC"/>
    <w:rsid w:val="00C7585A"/>
    <w:rsid w:val="00C76C25"/>
    <w:rsid w:val="00CE06B4"/>
    <w:rsid w:val="00CE5DA7"/>
    <w:rsid w:val="00D14228"/>
    <w:rsid w:val="00D233B4"/>
    <w:rsid w:val="00DD4015"/>
    <w:rsid w:val="00E26338"/>
    <w:rsid w:val="00F84D63"/>
    <w:rsid w:val="00FB3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4D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7</Pages>
  <Words>2066</Words>
  <Characters>11778</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Винокур</dc:creator>
  <cp:keywords/>
  <dc:description/>
  <cp:lastModifiedBy>ну вот</cp:lastModifiedBy>
  <cp:revision>6</cp:revision>
  <dcterms:created xsi:type="dcterms:W3CDTF">2022-01-21T09:29:00Z</dcterms:created>
  <dcterms:modified xsi:type="dcterms:W3CDTF">2022-01-25T13:35:00Z</dcterms:modified>
</cp:coreProperties>
</file>